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5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 8 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955-0526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2026, Bio Green Med Solution, Inc., a Delaware corporation (the “Company”), Future NRG Sdn. Bhd., a Malaysia private limited company (“FNRG”) and each of the shareholders of FNRG (the “Selling Shareholders”), entered into a Business Combination Agreement (the “BCA”), pursuant to which, among other matters, and subject to the satisfaction or waiver of the conditions set forth in the BCA, the Selling Shareholders will voluntarily exchange all of their ordinary shares in FNRG for shares of common stock, par value $0.001 of the Company (the “Exchange Shares”), resulting in FNRG becoming a wholly owned subsidiary of the Company (the “Exchange”). The Exchange is intended to qualify for federal income tax purposes as a tax-free reorganization under the provisions of Section 351 of the Internal Revenue Code of 1986, as amended.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BCA, at the closing of the Exchange: (a) each then-outstanding ordinary share of FNRG will be converted into the right to receive a number of Exchange Shares calculated in accordance with the BCA. Under the exchange ratio formula in the BCA, upon the closing of the Exchange, on a pro forma basis and based upon the number of Exchange Shares to be issued in the Exchange, the Selling Shareholders will own approximately more than 99% of the combined company and pre-Exchange Company stockholders will own approximately less than 1% of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Exchange, the Company will seek the approval of its stockholders of, among other things, (a) the BCA and the transactions contemplated thereby and against any competing proposals being considered at the meeting (the “Company Exchange Approval Proposals”), and (b) if deemed necessary by the Company and FNRG, an amendment to the Company’s certificate of incorporation to (i) effect a reverse stock split of all outstanding shares of Company common stock (together with Company Exchange Approval Proposals, the “Company Voting Proposals”).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Company, FNRG and the Selling Shareholders has agreed to customary representations, warranties and covenants in the BCA, including, among others, covenants relating to (a) using commercially reasonable efforts to obtain the requisite approval of its shareholders, (b) non-solicitation of alternative acquisition proposals, (c) the conduct of their respective businesses during the period between the date of signing the BCA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U.S. Securities and Exchange Commission (the “SEC”) and causing to become effective a registration statement to register the shares of Company common stock to be issued in connection with the Exchange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Exchange is subject to certain closing conditions, including, among other things, (a) approval by Company stockholders of the Company Exchange Approval Proposals, (b) approval by the Selling Shareholders of the adoption and approval of the BCA and the transactions contemplated thereby, (c) Nasdaq’s approval of the listing of the shares of Company common stock to be issued in connection with the Exchange, (d) the effectiveness of the Registration Statement, and (e) agreement by all parties to the amount of the Exchange Shares in writing as of the closing date. Each party’s obligation to consummate the Exchange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BCA required to be performed on or prior to the date of the closing of the Exchange.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BCA contains certain termination rights of each of the Company and FNRG. In the event the Exchange is not closed by December 31, 2026, either party may terminate the BCA and the transactions contemplated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of the Exchange (the “Effective Time”), the Board is expected to consist of five members, four of whom will be designated by the Company and will include all of the current members except for Mr. Kiu Cu Seng and one of whom will be designated by FNRG, Mr. Pun Kah Weng.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prior to the closing of the Exchange, certain of the Selling Shareholders will enter into lock-up agreements (the “Lock-Up Agreements”) pursuant to which, subject to specified exceptions, they have agreed not to transfer their shares of Company common stock acquired in connection with the Exchange for a period of 180 days following the closing of the Exchange.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preceding summaries of the BCA and the Lock-Up Agreements do not purport to be complete and are qualified in their entirety by reference to the BCA and the form of Lock-Up Agreement, which are filed as Exhibits 2.1 and 10.1, respectively, to this Current Report on Form 8-K and which are incorporated herein by reference. The BCA has been attached as an exhibit to this Current Report on Form 8-K to provide investors and securityholders with information regarding its terms. It is not intended to provide any other factual information about the Company or FNRG or to modify or supplement any factual disclosures about the Company in its public reports filed with the SEC. The BCA includes representations, warranties and covenants of the Company, FNRG and the Selling Shareholders made solely for the purpose of the BCA and solely for the benefit of the parties thereto in connection with the negotiated terms of the BCA. Investors should not rely on the representations, warranties and covenants in the BCA or any descriptions thereof as characterizations of the actual state of facts or conditions of the Company, FNRG, the Selling Shareholders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BCA, rather than establishing matters of fact.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execution of the BCA.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set forth in Item 7.01 of this report shall not be deemed to be “filed” for purposes of Section 18 of the Securities Exchange Act of 1934, as amended (the “Exchange Act”), or otherwise subject to the liabilities of that section, and shall not be deemed to be incorporated by reference in any of the Company’s filings with the Securities and Exchange Commission under the Exchange Act or the Securities Act of 1933, as amended, whether made before or after the date hereof and regardless of any general incorporation language in such filings,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the consummation of the Transaction.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(i) changes in domestic and foreign business, market, financial, political and legal conditions; (ii) the inability of the Company and FNRG to consummate the proposed transaction successfully or timely, including the risk that any required approvals are not obtained, are delayed or are subject to unanticipated conditions that could adversely affect the combined company or the expected benefits of the proposed transaction or that the approval of the equityholders of the Company and FNRG is not obtained; (iii) failure to realize the anticipated benefits of the proposed transaction; (iv) the ability of the combined company to grow and manage its growth effectively; (v) the ability of each of the Company and FNRG to execute their respective business plan; (vi) estimates of the size of the markets for the combined company’s respective products and services; (vii) the rate and degree of market acceptance of the combined company’s products and services outside of its existing markets; (viii) the Company’s ability to identify and integrate acquisitions; (ix) future investments in technology and operations; (x) potential litigation involving the Company or FNRG; (xi) risks relating to the uncertainty of the projected financial information with respect to FNRG; (xii) the effects of competition on FNRG’s business; (xiii) developments and changes in laws and regulations; (xiv) the impact of significant investigative, regulatory or legal proceedings; (xv) general economic and market conditions impacting demand for the combined company’s products and services; (xvi) the ability to meet Nasdaq’s listing standards prior to and following the consummation of the proposed transaction; and (xvii) such other risks and uncertainties as are discussed in the Company’s Annual Report on Form 10-K filed with the SEC and the Form S-4 to be filed relating to the proposed transaction.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factors include the possibility that the proposed transaction does not close, including due to the failure to receive required securityholder approvals, or the failure of other closing conditions.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Actual results could differ from those projected in any forward-looking statements due to numerous factors. These forward-looking statements are made as of the date of this report,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report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 SECURITIES OR DETERMINED IF THIS CURRENT REPORT ON FORM 8-K AND THE EXHIBITS FILED OR FURNISHED HEREWITH ARE TRUTHFUL OR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About the Proposed Transaction Will be Filed with the SEC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substitutes for the registration statement or for any other document that the Company may file with the SEC in connection with the proposed transaction. In connection with the proposed transaction between the Company and FNRG, the Company intends to file relevant materials with the SEC, including a registration statement on Form S-4 that will contain a proxy statement/prospectus of the Company. THE COMPANY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THE COMPANY, FNRG, THE PROPOSED TRANSACTION AND RELATED MATTERS. Investors and stockholders will be able to obtain free copies of the proxy statement/prospectus and other documents filed by the Company with the SEC (when they become available) through the website maintained by the SEC at www.sec.gov or by directing a request to Bio Green Med Solution, Inc. via email to: ir@BGMS.com.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FNRG and their respective directors and executive officers may be considered participants in the solicitation of proxies in connection with the proposed transaction. Information about the Company’s directors and executive officers is included in the Company’s most recent Annual Report on Form 10-K, including any information incorporated therein by reference, as filed with the SEC on March 30, 2026. Additional information regarding the persons who may be deemed participants in the solicitation of proxies will be included in the proxy statement/prospectus relating to the proposed transaction when it is filed with the SEC. These documents can be obtained free of charge from the sources indicated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0" w:type="dxa"/>
            <w:vAlign w:val="bottom"/>
          </w:tcPr>
          <w:p>
            <w:pPr>
              <w:spacing w:after="0"/>
              <w:rPr>
                <w:sz w:val="18"/>
                <w:szCs w:val="18"/>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4"/>
                <w:szCs w:val="14"/>
                <w:color w:val="auto"/>
              </w:rPr>
            </w:pPr>
          </w:p>
        </w:tc>
        <w:tc>
          <w:tcPr>
            <w:tcW w:w="1046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Business Combination Agreement dated June 4, 2026</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5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Form of Lock-Up Agreement</w:t>
            </w: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580" w:type="dxa"/>
            <w:vAlign w:val="bottom"/>
            <w:gridSpan w:val="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Press Release dated June 4, 2026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Future NRG Sdn. Bhd.,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7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Exchange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1.2</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Effects of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1.3</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1.4</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Effective Time of the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1.5</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REPRESENTATIONS AND WARRANTIES OF THE COMPANY AND SELLING SHAREHOLDERS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Standing and Corporate Power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Structure of the Company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2.4</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Authority; Noncontravention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2.5</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2.6</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2.7</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2.8</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Fees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2.9</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Labor Matters; Compliance with Laws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2.10</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Plans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2.11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Returns and Tax Payments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 Defaults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2.14</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2.15</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2.16</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2.17</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Recommendation and Affirmative Vote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2.18</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Undisclosed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2.19</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Cybersecurity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2.20</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2.21</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2.22</w:t>
            </w:r>
          </w:p>
        </w:tc>
        <w:tc>
          <w:tcPr>
            <w:tcW w:w="9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2.23</w:t>
            </w:r>
          </w:p>
        </w:tc>
        <w:tc>
          <w:tcPr>
            <w:tcW w:w="9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2.24</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2.25</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 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PARENT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 Standing and Corporate Power</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Structure of Parent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Authority; Noncontravention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Authorization</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Documents; Undisclosed Liabilities; 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3.7</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3.8</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Fees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3.9</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Labor Matters; Compliance with Laws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3.10</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Plans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3.11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Returns and Tax Payments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Material Contract Defaults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3.17</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Determination and Vote Required</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3.18</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Parent Share Issuance Approval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3.19</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Undisclosed Liabilities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3.20</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3.21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3.22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 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 OF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Company Business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Satisfaction of Conditions Precedent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4.4</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Negotiations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4.5</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4.6</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 OF PARENT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5.1</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Parent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5.2</w:t>
            </w: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the Parent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5.3</w:t>
            </w: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5.4</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5.5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5.6</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Satisfaction of Conditions Precedent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5.7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16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5.8</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 Other Negotiations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COVENANTS OF PARENT AND THE COMPANY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6.2</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Announcements; Confidentiality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6.4</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Reasonable Efforts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6.6</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Legends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6.8</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Shareholder Written Consent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6.9</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Stockholder Meeting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EXCHANGE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7.1</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Condition to Obligation of Each Party to Effect the Exchange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7.2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Conditions to Obligations of Parent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7.3</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TERMINATION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8.1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8.2</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Termination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8.3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SURVIVAL OF REPRESENTATIONS, WARRANTIES AND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Waiver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Failure or Indulgence Not Waiver; Remedies Cumulative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10.5</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10.6</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10.7</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10.8</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10.9</w:t>
            </w: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Parties In Interest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10.10</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10.11</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10.12</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10.13</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Attorneys’ Fees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10.14</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10.15</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Drafting</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10.16</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0" w:type="dxa"/>
            <w:vAlign w:val="bottom"/>
            <w:shd w:val="clear" w:color="auto" w:fill="CCEEFF"/>
          </w:tcPr>
          <w:p>
            <w:pPr>
              <w:spacing w:after="0"/>
              <w:rPr>
                <w:sz w:val="18"/>
                <w:szCs w:val="18"/>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Definitions</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Shareholders Share Allocation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 Form of Transfer</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Directors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 –</w:t>
            </w: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Shareholder Representation Letter</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 –</w:t>
            </w: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Lock-Up Agreement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BUSINESS COMBINATION AGREEMENT (this or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4, 2026, by and among Bio Green Med Solution,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Future NRG Sdn. Bhd., a Malaysian private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shareholders of the Company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and together with Parent, and the Company,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Certain other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is a Delaware corporation listed on the Nasdaq under the symbol “BGMS;”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intend to effect a share exchange between Parent and the Selling Shareholder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become a wholly-owned subsidiary of Parent, in accordance with this Agreement and the DGCL and Malaysian Companies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Parent has (a) determined that this Agreement, the Exchange and the transactions contemplated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and the Selling Shareholders have (a) determined that this Agreement, the Exchange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under this Agreement are in the best interest of the Company, (b) approved the Exchange, and (c) adopted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Parent, the Company and the Selling Shareholders desires to make certain representations, warranties,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 connection with the Exchange and the other transactions contemplated by this Agreement and also to prescribe various conditions to the consummation thereof;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the Parties intend, and each Party acknowledges, that the Exchange will qualify as a tax-free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property under the provisions of Section 351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representations, warranties, covenants and agreements herein contained, the parties hereto,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EXCHANGE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Share Exchange</w:t>
      </w:r>
      <w:r>
        <w:rPr>
          <w:rFonts w:ascii="Times New Roman" w:cs="Times New Roman" w:eastAsia="Times New Roman" w:hAnsi="Times New Roman"/>
          <w:sz w:val="18"/>
          <w:szCs w:val="18"/>
          <w:color w:val="auto"/>
        </w:rPr>
        <w:t>. Upon the terms and subject to the conditions set forth in this Agreement, and in accordance with the DGCL, at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hereinafter defined), the Parties shall do the following:</w:t>
      </w:r>
    </w:p>
    <w:p>
      <w:pPr>
        <w:spacing w:after="0" w:line="159" w:lineRule="exact"/>
        <w:rPr>
          <w:sz w:val="20"/>
          <w:szCs w:val="20"/>
          <w:color w:val="auto"/>
        </w:rPr>
      </w:pPr>
    </w:p>
    <w:p>
      <w:pPr>
        <w:jc w:val="both"/>
        <w:ind w:left="660" w:firstLine="644"/>
        <w:spacing w:after="0" w:line="258"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Shareholders shall convey, assign, and transfer all of their right, title and interest to the Company Ordinary Shares (individually,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660" w:firstLine="644"/>
        <w:spacing w:after="0" w:line="256" w:lineRule="auto"/>
        <w:tabs>
          <w:tab w:leader="none" w:pos="15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 Effects of the Exchange. </w:t>
      </w:r>
      <w:r>
        <w:rPr>
          <w:rFonts w:ascii="Times New Roman" w:cs="Times New Roman" w:eastAsia="Times New Roman" w:hAnsi="Times New Roman"/>
          <w:sz w:val="18"/>
          <w:szCs w:val="18"/>
          <w:color w:val="auto"/>
        </w:rPr>
        <w:t>The Exchange shall have the effects set forth in the applicable provisions of the DGCL and Malaysian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1.3 Closing</w:t>
      </w:r>
      <w:r>
        <w:rPr>
          <w:rFonts w:ascii="Times New Roman" w:cs="Times New Roman" w:eastAsia="Times New Roman" w:hAnsi="Times New Roman"/>
          <w:sz w:val="18"/>
          <w:szCs w:val="18"/>
          <w:color w:val="auto"/>
        </w:rPr>
        <w:t>. Upon the terms and subject to the conditions set forth herein and unless this Agreement has been terminated pursuant to its terms,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at the date and time to be specified by the Parties hereto, which date shall be no later than three (3) Business days after the date on which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time of the Closing, Parent, the Company and the Selling Shareholders shall deliver the certificates and other documents and instruments required to be delivered hereunder</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 Effective Time of the Exchange. </w:t>
      </w:r>
      <w:r>
        <w:rPr>
          <w:rFonts w:ascii="Times New Roman" w:cs="Times New Roman" w:eastAsia="Times New Roman" w:hAnsi="Times New Roman"/>
          <w:sz w:val="18"/>
          <w:szCs w:val="18"/>
          <w:color w:val="auto"/>
        </w:rPr>
        <w:t>Subject to the provisions of this Agreement, at the Closing, the Parties hereto shall (a) cause a Form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105 (Form of Transfer of Securities)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Malaysia Form of Transfer</w:t>
      </w:r>
      <w:r>
        <w:rPr>
          <w:rFonts w:ascii="Times New Roman" w:cs="Times New Roman" w:eastAsia="Times New Roman" w:hAnsi="Times New Roman"/>
          <w:sz w:val="18"/>
          <w:szCs w:val="18"/>
          <w:color w:val="auto"/>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 Directors and Officers. </w:t>
      </w:r>
      <w:r>
        <w:rPr>
          <w:rFonts w:ascii="Times New Roman" w:cs="Times New Roman" w:eastAsia="Times New Roman" w:hAnsi="Times New Roman"/>
          <w:sz w:val="18"/>
          <w:szCs w:val="18"/>
          <w:color w:val="auto"/>
        </w:rPr>
        <w:t>The directors of Parent, the Company and its Subsidiaries shall, from and after the Effective Time, be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AND SELLING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each of the Selling Shareholders jointly and severally represent and warrant to Parent that, except as set forth in the disclosure schedules delivered by the Company to Parent (the “</w:t>
      </w: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prior to the execution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 Organization, Standing and Corporate Power</w:t>
      </w:r>
      <w:r>
        <w:rPr>
          <w:rFonts w:ascii="Times New Roman" w:cs="Times New Roman" w:eastAsia="Times New Roman" w:hAnsi="Times New Roman"/>
          <w:sz w:val="18"/>
          <w:szCs w:val="18"/>
          <w:color w:val="auto"/>
        </w:rPr>
        <w:t>. The Company is duly organized, validly existing and in good standing under the Malaysian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 Subsidiaries. </w:t>
      </w:r>
      <w:r>
        <w:rPr>
          <w:rFonts w:ascii="Times New Roman" w:cs="Times New Roman" w:eastAsia="Times New Roman" w:hAnsi="Times New Roman"/>
          <w:sz w:val="18"/>
          <w:szCs w:val="18"/>
          <w:color w:val="auto"/>
        </w:rPr>
        <w:t>The Company has no subsidiaries.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2.3 Capital Structure of the Company. </w:t>
      </w:r>
      <w:r>
        <w:rPr>
          <w:rFonts w:ascii="Times New Roman" w:cs="Times New Roman" w:eastAsia="Times New Roman" w:hAnsi="Times New Roman"/>
          <w:sz w:val="18"/>
          <w:szCs w:val="18"/>
          <w:color w:val="auto"/>
        </w:rPr>
        <w:t>As of the date of this Agreement, the number of shares and type of all authorized,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capital shares of the Company, and all capital shares reserved for issuance under the Company’s various option and incentive plans is specified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All outstanding capital shares of the Company are duly authorized, validly issued, fully paid and nonassessable and, except as set forth in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not subject to preemptive rights. Except for the Company Ordinary Shares and as set forth on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2.4 Corporate Authority; Noncontravention. </w:t>
      </w:r>
      <w:r>
        <w:rPr>
          <w:rFonts w:ascii="Times New Roman" w:cs="Times New Roman" w:eastAsia="Times New Roman" w:hAnsi="Times New Roman"/>
          <w:sz w:val="18"/>
          <w:szCs w:val="18"/>
          <w:color w:val="auto"/>
        </w:rPr>
        <w:t>The Company has all requisite corporate power and authority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Governmental Authorization. </w:t>
      </w:r>
      <w:r>
        <w:rPr>
          <w:rFonts w:ascii="Times New Roman" w:cs="Times New Roman" w:eastAsia="Times New Roman" w:hAnsi="Times New Roman"/>
          <w:sz w:val="18"/>
          <w:szCs w:val="18"/>
          <w:color w:val="auto"/>
        </w:rPr>
        <w:t>No consent, approval, Order or authorization of, or registration, declaration or filing with, or notice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Financial Statements.</w:t>
      </w:r>
    </w:p>
    <w:p>
      <w:pPr>
        <w:spacing w:after="0" w:line="229" w:lineRule="exact"/>
        <w:rPr>
          <w:sz w:val="20"/>
          <w:szCs w:val="20"/>
          <w:color w:val="auto"/>
        </w:rPr>
      </w:pPr>
    </w:p>
    <w:p>
      <w:pPr>
        <w:jc w:val="both"/>
        <w:ind w:left="660" w:firstLine="644"/>
        <w:spacing w:after="0" w:line="256" w:lineRule="auto"/>
        <w:tabs>
          <w:tab w:leader="none" w:pos="15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Closing, Parent will have received a copy of the audited financial statements of the Company for the fiscal years ended December 31, 2024, and 2025 (collectively, the “</w:t>
      </w:r>
      <w:r>
        <w:rPr>
          <w:rFonts w:ascii="Times New Roman" w:cs="Times New Roman" w:eastAsia="Times New Roman" w:hAnsi="Times New Roman"/>
          <w:sz w:val="18"/>
          <w:szCs w:val="18"/>
          <w:b w:val="1"/>
          <w:bCs w:val="1"/>
          <w:color w:val="auto"/>
        </w:rPr>
        <w:t>Company Financial Statements</w:t>
      </w:r>
      <w:r>
        <w:rPr>
          <w:rFonts w:ascii="Times New Roman" w:cs="Times New Roman" w:eastAsia="Times New Roman" w:hAnsi="Times New Roman"/>
          <w:sz w:val="18"/>
          <w:szCs w:val="18"/>
          <w:color w:val="auto"/>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spacing w:after="0" w:line="183"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2026 (the “</w:t>
      </w:r>
      <w:r>
        <w:rPr>
          <w:rFonts w:ascii="Times New Roman" w:cs="Times New Roman" w:eastAsia="Times New Roman" w:hAnsi="Times New Roman"/>
          <w:sz w:val="18"/>
          <w:szCs w:val="18"/>
          <w:b w:val="1"/>
          <w:bCs w:val="1"/>
          <w:color w:val="auto"/>
        </w:rPr>
        <w:t>Company Balance Sheet Date</w:t>
      </w:r>
      <w:r>
        <w:rPr>
          <w:rFonts w:ascii="Times New Roman" w:cs="Times New Roman" w:eastAsia="Times New Roman" w:hAnsi="Times New Roman"/>
          <w:sz w:val="18"/>
          <w:szCs w:val="18"/>
          <w:color w:val="auto"/>
        </w:rPr>
        <w:t>”), there has been no Material Adverse Effect with respect to the</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2.6</w:t>
      </w:r>
      <w:r>
        <w:rPr>
          <w:rFonts w:ascii="Times New Roman" w:cs="Times New Roman" w:eastAsia="Times New Roman" w:hAnsi="Times New Roman"/>
          <w:sz w:val="18"/>
          <w:szCs w:val="18"/>
          <w:color w:val="auto"/>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2.7 Absence of Certain Changes or Events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the execution and delivery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of the transactions contemplated hereby, since the Company Balance Sheet Date, the Company has conducted its business only in the ordinary course consistent with past practice and there is not and has not been any:</w:t>
      </w:r>
    </w:p>
    <w:p>
      <w:pPr>
        <w:spacing w:after="0" w:line="175" w:lineRule="exact"/>
        <w:rPr>
          <w:sz w:val="20"/>
          <w:szCs w:val="20"/>
          <w:color w:val="auto"/>
        </w:rPr>
      </w:pPr>
    </w:p>
    <w:p>
      <w:pPr>
        <w:ind w:left="660" w:right="20" w:firstLine="644"/>
        <w:spacing w:after="0" w:line="28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 which, if it had taken place following the execution of this Agreement, would not have been permitted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without prior consent of Parent;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event or occurrence which could reasonably be expected to prevent, hinder or materially delay the ability of the Company to consummate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assumption or guarantee by the Company of any indebtedness for borrowed money other than in the ordinary course and in amounts and on terms consistent with past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other incurrence by the Company of any Lien on any asset other than in the ordinary course consistent with past practices;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prepayment or discharge of any material liability other than in the ordinary course of business or any failure to pay any material liability when due;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write-offs or write-downs of any Assets of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destruction or loss of any Assets of the Company having, or reasonably expected to have, a Material Adverse Effect on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 event or occurrence which individually or in the aggregate could reasonably be expected to have a Material Adverse Effect with respect to the Company; 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commitment to do any of the foregoing.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2.8 Certain Fees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2.8</w:t>
      </w:r>
      <w:r>
        <w:rPr>
          <w:rFonts w:ascii="Times New Roman" w:cs="Times New Roman" w:eastAsia="Times New Roman" w:hAnsi="Times New Roman"/>
          <w:sz w:val="18"/>
          <w:szCs w:val="18"/>
          <w:color w:val="auto"/>
        </w:rPr>
        <w:t>, no brokerage or finder’s fees or commissions are or will be payable by the Company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financial advisor or consultant, finder, placement agent, investment banker, bank or other person with respect to the transactions contemplated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2.9 Litigation; Labor Matters; Compliance with Laws.</w:t>
      </w:r>
    </w:p>
    <w:p>
      <w:pPr>
        <w:spacing w:after="0" w:line="229" w:lineRule="exact"/>
        <w:rPr>
          <w:sz w:val="20"/>
          <w:szCs w:val="20"/>
          <w:color w:val="auto"/>
        </w:rPr>
      </w:pPr>
    </w:p>
    <w:p>
      <w:pPr>
        <w:jc w:val="both"/>
        <w:ind w:left="660" w:firstLine="644"/>
        <w:spacing w:after="0" w:line="255" w:lineRule="auto"/>
        <w:tabs>
          <w:tab w:leader="none" w:pos="15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left="660" w:firstLine="644"/>
        <w:spacing w:after="0" w:line="258"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2.10 Benefit Plans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2.10</w:t>
      </w:r>
      <w:r>
        <w:rPr>
          <w:rFonts w:ascii="Times New Roman" w:cs="Times New Roman" w:eastAsia="Times New Roman" w:hAnsi="Times New Roman"/>
          <w:sz w:val="18"/>
          <w:szCs w:val="18"/>
          <w:color w:val="auto"/>
        </w:rPr>
        <w:t>, the Company is not a party to any Benefit Plan under which the Company currently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obligation to provide benefits to any current or former employee, officer or director of the Company. As used herein,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2.11 Tax Returns and Tax Payments.</w:t>
      </w:r>
    </w:p>
    <w:p>
      <w:pPr>
        <w:spacing w:after="0" w:line="229" w:lineRule="exact"/>
        <w:rPr>
          <w:sz w:val="20"/>
          <w:szCs w:val="20"/>
          <w:color w:val="auto"/>
        </w:rPr>
      </w:pPr>
    </w:p>
    <w:p>
      <w:pPr>
        <w:jc w:val="both"/>
        <w:ind w:left="660" w:firstLine="644"/>
        <w:spacing w:after="0" w:line="253" w:lineRule="auto"/>
        <w:tabs>
          <w:tab w:leader="none" w:pos="1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 w:cs="Times New Roman" w:eastAsia="Times New Roman" w:hAnsi="Times New Roman"/>
          <w:sz w:val="18"/>
          <w:szCs w:val="18"/>
          <w:u w:val="single" w:color="auto"/>
          <w:color w:val="auto"/>
        </w:rPr>
        <w:t>Schedule 2.11</w:t>
      </w:r>
      <w:r>
        <w:rPr>
          <w:rFonts w:ascii="Times New Roman" w:cs="Times New Roman" w:eastAsia="Times New Roman" w:hAnsi="Times New Roman"/>
          <w:sz w:val="18"/>
          <w:szCs w:val="18"/>
          <w:color w:val="auto"/>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left="660" w:firstLine="644"/>
        <w:spacing w:after="0" w:line="258" w:lineRule="auto"/>
        <w:tabs>
          <w:tab w:leader="none" w:pos="1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spacing w:after="0" w:line="179" w:lineRule="exact"/>
        <w:rPr>
          <w:rFonts w:ascii="Times New Roman" w:cs="Times New Roman" w:eastAsia="Times New Roman" w:hAnsi="Times New Roman"/>
          <w:sz w:val="18"/>
          <w:szCs w:val="18"/>
          <w:color w:val="auto"/>
        </w:rPr>
      </w:pPr>
    </w:p>
    <w:p>
      <w:pPr>
        <w:ind w:left="660" w:firstLine="644"/>
        <w:spacing w:after="0" w:line="286" w:lineRule="auto"/>
        <w:tabs>
          <w:tab w:leader="none" w:pos="15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return, report or statement required to be filed with any governmental authority with respect to Taxes.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2.12 Environmental Matters. </w:t>
      </w:r>
      <w:r>
        <w:rPr>
          <w:rFonts w:ascii="Times New Roman" w:cs="Times New Roman" w:eastAsia="Times New Roman" w:hAnsi="Times New Roman"/>
          <w:sz w:val="18"/>
          <w:szCs w:val="18"/>
          <w:color w:val="auto"/>
        </w:rPr>
        <w:t>Except for such matters as would not reasonably be expected to have, individually or in the aggregate,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on the Company:</w:t>
      </w:r>
    </w:p>
    <w:p>
      <w:pPr>
        <w:spacing w:after="0" w:line="159" w:lineRule="exact"/>
        <w:rPr>
          <w:sz w:val="20"/>
          <w:szCs w:val="20"/>
          <w:color w:val="auto"/>
        </w:rPr>
      </w:pPr>
    </w:p>
    <w:p>
      <w:pPr>
        <w:jc w:val="both"/>
        <w:ind w:left="660" w:firstLine="644"/>
        <w:spacing w:after="0" w:line="258" w:lineRule="auto"/>
        <w:tabs>
          <w:tab w:leader="none" w:pos="15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 w:cs="Times New Roman" w:eastAsia="Times New Roman" w:hAnsi="Times New Roman"/>
          <w:sz w:val="18"/>
          <w:szCs w:val="18"/>
          <w:b w:val="1"/>
          <w:bCs w:val="1"/>
          <w:color w:val="auto"/>
        </w:rPr>
        <w:t>Medical Waste</w:t>
      </w:r>
      <w:r>
        <w:rPr>
          <w:rFonts w:ascii="Times New Roman" w:cs="Times New Roman" w:eastAsia="Times New Roman" w:hAnsi="Times New Roman"/>
          <w:sz w:val="18"/>
          <w:szCs w:val="18"/>
          <w:color w:val="auto"/>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 w:cs="Times New Roman" w:eastAsia="Times New Roman" w:hAnsi="Times New Roman"/>
          <w:sz w:val="18"/>
          <w:szCs w:val="18"/>
          <w:b w:val="1"/>
          <w:bCs w:val="1"/>
          <w:color w:val="auto"/>
        </w:rPr>
        <w:t>Medical Waste Permits</w:t>
      </w:r>
      <w:r>
        <w:rPr>
          <w:rFonts w:ascii="Times New Roman" w:cs="Times New Roman" w:eastAsia="Times New Roman" w:hAnsi="Times New Roman"/>
          <w:sz w:val="18"/>
          <w:szCs w:val="18"/>
          <w:color w:val="auto"/>
        </w:rPr>
        <w:t>”), all of which are valid, in full force and effect, and not subject to suspension or revocation.</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660" w:firstLine="644"/>
        <w:spacing w:after="0" w:line="261" w:lineRule="auto"/>
        <w:tabs>
          <w:tab w:leader="none" w:pos="15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2.13 Material Contract Defaults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2.13</w:t>
      </w:r>
      <w:r>
        <w:rPr>
          <w:rFonts w:ascii="Times New Roman" w:cs="Times New Roman" w:eastAsia="Times New Roman" w:hAnsi="Times New Roman"/>
          <w:sz w:val="18"/>
          <w:szCs w:val="18"/>
          <w:color w:val="auto"/>
        </w:rPr>
        <w:t>, the Company is not, and has not received any written notice or has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 w:cs="Times New Roman" w:eastAsia="Times New Roman" w:hAnsi="Times New Roman"/>
          <w:sz w:val="18"/>
          <w:szCs w:val="18"/>
          <w:u w:val="single" w:color="auto"/>
          <w:color w:val="auto"/>
        </w:rPr>
        <w:t>Schedule 2.13</w:t>
      </w:r>
      <w:r>
        <w:rPr>
          <w:rFonts w:ascii="Times New Roman" w:cs="Times New Roman" w:eastAsia="Times New Roman" w:hAnsi="Times New Roman"/>
          <w:sz w:val="18"/>
          <w:szCs w:val="18"/>
          <w:color w:val="auto"/>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2.14 Accounts Receivable. </w:t>
      </w:r>
      <w:r>
        <w:rPr>
          <w:rFonts w:ascii="Times New Roman" w:cs="Times New Roman" w:eastAsia="Times New Roman" w:hAnsi="Times New Roman"/>
          <w:sz w:val="18"/>
          <w:szCs w:val="18"/>
          <w:color w:val="auto"/>
        </w:rPr>
        <w:t>All of the accounts receivable of the Company that are reflected on the most recent balance sheet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Financial Statements or the accounting records of the Company as of the Closing (collectively, the “</w:t>
      </w: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2.15 Properties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2.15</w:t>
      </w:r>
      <w:r>
        <w:rPr>
          <w:rFonts w:ascii="Times New Roman" w:cs="Times New Roman" w:eastAsia="Times New Roman" w:hAnsi="Times New Roman"/>
          <w:sz w:val="18"/>
          <w:szCs w:val="18"/>
          <w:color w:val="auto"/>
        </w:rPr>
        <w:t>, the Company has valid land use rights for all real property that is material to its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2.16 Intellectual Property.</w:t>
      </w:r>
    </w:p>
    <w:p>
      <w:pPr>
        <w:spacing w:after="0" w:line="225" w:lineRule="exact"/>
        <w:rPr>
          <w:sz w:val="20"/>
          <w:szCs w:val="20"/>
          <w:color w:val="auto"/>
        </w:rPr>
      </w:pPr>
    </w:p>
    <w:p>
      <w:pPr>
        <w:jc w:val="both"/>
        <w:ind w:firstLine="644"/>
        <w:spacing w:after="0" w:line="252"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(c) copyrights, works of authorship and moral rights, and all registrations, applications, renewals, extensions and reversions thereof (collectively,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and (e) Technology. For purposes of this Agreement,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spacing w:after="0" w:line="193" w:lineRule="exact"/>
        <w:rPr>
          <w:rFonts w:ascii="Times New Roman" w:cs="Times New Roman" w:eastAsia="Times New Roman" w:hAnsi="Times New Roman"/>
          <w:sz w:val="18"/>
          <w:szCs w:val="18"/>
          <w:color w:val="auto"/>
        </w:rPr>
      </w:pPr>
    </w:p>
    <w:p>
      <w:pPr>
        <w:jc w:val="both"/>
        <w:ind w:firstLine="644"/>
        <w:spacing w:after="0" w:line="255" w:lineRule="auto"/>
        <w:tabs>
          <w:tab w:leader="none" w:pos="9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0" w:name="page21"/>
    <w:bookmarkEnd w:id="20"/>
    <w:p>
      <w:pPr>
        <w:jc w:val="both"/>
        <w:ind w:left="4" w:firstLine="644"/>
        <w:spacing w:after="0" w:line="254" w:lineRule="auto"/>
        <w:tabs>
          <w:tab w:leader="none" w:pos="8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exclusive owner of or, to the Knowledge of the Company, has a valid and enforceable right to use all Intellectual Property listed for the Company in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(and any other Intellectual Property required to be listed in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spacing w:after="0" w:line="191"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reasonably be expected to have, individually or in the aggregate, a Material Adverse Effect on the Company,</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1" w:name="page22"/>
    <w:bookmarkEnd w:id="21"/>
    <w:p>
      <w:pPr>
        <w:jc w:val="both"/>
        <w:ind w:left="660" w:firstLine="644"/>
        <w:spacing w:after="0" w:line="254" w:lineRule="auto"/>
        <w:tabs>
          <w:tab w:leader="none" w:pos="15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necessary registration, maintenance, renewal and other relevant filing fees in connection with any of the Company-Owned IP listed (or required to be listed) on </w:t>
      </w:r>
      <w:r>
        <w:rPr>
          <w:rFonts w:ascii="Times New Roman" w:cs="Times New Roman" w:eastAsia="Times New Roman" w:hAnsi="Times New Roman"/>
          <w:sz w:val="18"/>
          <w:szCs w:val="18"/>
          <w:u w:val="single" w:color="auto"/>
          <w:color w:val="auto"/>
        </w:rPr>
        <w:t>Schedule 2.16</w:t>
      </w:r>
      <w:r>
        <w:rPr>
          <w:rFonts w:ascii="Times New Roman" w:cs="Times New Roman" w:eastAsia="Times New Roman" w:hAnsi="Times New Roman"/>
          <w:sz w:val="18"/>
          <w:szCs w:val="18"/>
          <w:color w:val="auto"/>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2.17 Board Recommendation and Affirmative Vote. </w:t>
      </w:r>
      <w:r>
        <w:rPr>
          <w:rFonts w:ascii="Times New Roman" w:cs="Times New Roman" w:eastAsia="Times New Roman" w:hAnsi="Times New Roman"/>
          <w:sz w:val="18"/>
          <w:szCs w:val="18"/>
          <w:color w:val="auto"/>
        </w:rPr>
        <w:t>The Board of Directors of the Company have determined that the terms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 w:cs="Times New Roman" w:eastAsia="Times New Roman" w:hAnsi="Times New Roman"/>
          <w:sz w:val="18"/>
          <w:szCs w:val="18"/>
          <w:b w:val="1"/>
          <w:bCs w:val="1"/>
          <w:color w:val="auto"/>
        </w:rPr>
        <w:t>Required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 Vote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2.18 Undisclosed Liabilities. </w:t>
      </w:r>
      <w:r>
        <w:rPr>
          <w:rFonts w:ascii="Times New Roman" w:cs="Times New Roman" w:eastAsia="Times New Roman" w:hAnsi="Times New Roman"/>
          <w:sz w:val="18"/>
          <w:szCs w:val="18"/>
          <w:color w:val="auto"/>
        </w:rPr>
        <w:t>The Company has no liabilities, indebtedness or monetary obligations of any nature (whether fixed or unfixed,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or unsecured, known or unknown and whether absolute, accrued, contingent, or otherwise) except for such liabilities, indebtedness or obligations</w:t>
      </w:r>
    </w:p>
    <w:p>
      <w:pPr>
        <w:spacing w:after="0" w:line="1" w:lineRule="exact"/>
        <w:rPr>
          <w:sz w:val="20"/>
          <w:szCs w:val="20"/>
          <w:color w:val="auto"/>
        </w:rPr>
      </w:pPr>
    </w:p>
    <w:p>
      <w:pPr>
        <w:jc w:val="both"/>
        <w:ind w:firstLine="8"/>
        <w:spacing w:after="0" w:line="255" w:lineRule="auto"/>
        <w:tabs>
          <w:tab w:leader="none" w:pos="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 w:cs="Times New Roman" w:eastAsia="Times New Roman" w:hAnsi="Times New Roman"/>
          <w:sz w:val="18"/>
          <w:szCs w:val="18"/>
          <w:u w:val="single" w:color="auto"/>
          <w:color w:val="auto"/>
        </w:rPr>
        <w:t>Schedule 2.18</w:t>
      </w:r>
      <w:r>
        <w:rPr>
          <w:rFonts w:ascii="Times New Roman" w:cs="Times New Roman" w:eastAsia="Times New Roman" w:hAnsi="Times New Roman"/>
          <w:sz w:val="18"/>
          <w:szCs w:val="18"/>
          <w:color w:val="auto"/>
        </w:rPr>
        <w:t>, or (v) would not reasonably be expected to have, individually or in the aggregate, a Material Adverse Effect on the Company.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2.19 Cybersecurity</w:t>
      </w:r>
      <w:r>
        <w:rPr>
          <w:rFonts w:ascii="Times New Roman" w:cs="Times New Roman" w:eastAsia="Times New Roman" w:hAnsi="Times New Roman"/>
          <w:sz w:val="18"/>
          <w:szCs w:val="18"/>
          <w:color w:val="auto"/>
        </w:rPr>
        <w:t>. The Company maintain and comply with commercially reasonable cybersecurity, data protection, and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2.20 Parent Information. </w:t>
      </w:r>
      <w:r>
        <w:rPr>
          <w:rFonts w:ascii="Times New Roman" w:cs="Times New Roman" w:eastAsia="Times New Roman" w:hAnsi="Times New Roman"/>
          <w:sz w:val="18"/>
          <w:szCs w:val="18"/>
          <w:color w:val="auto"/>
        </w:rPr>
        <w:t>The Company and Selling Shareholders acknowledge that they have had access to the documents filed by Parent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since the end of its most recently completed fiscal year to the date hereof, and has carefully reviewed the same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The Company and Selling Shareholders have carefully considered the potential risks relating to Parent and investing in the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2.21 Transactions with Affiliates.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describes any material transactions or relationships between, on the one hand,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2.22 Certain Business Practices.</w:t>
      </w:r>
    </w:p>
    <w:p>
      <w:pPr>
        <w:spacing w:after="0" w:line="229" w:lineRule="exact"/>
        <w:rPr>
          <w:sz w:val="20"/>
          <w:szCs w:val="20"/>
          <w:color w:val="auto"/>
        </w:rPr>
      </w:pPr>
    </w:p>
    <w:p>
      <w:pPr>
        <w:jc w:val="both"/>
        <w:ind w:left="660" w:firstLine="644"/>
        <w:spacing w:after="0" w:line="254" w:lineRule="auto"/>
        <w:tabs>
          <w:tab w:leader="none" w:pos="15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on the sanctions lists adopted by the United Nations and/or European Union, as such lists may be extended from time to time (“</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2.23 Independent Investigation</w:t>
      </w:r>
      <w:r>
        <w:rPr>
          <w:rFonts w:ascii="Times New Roman" w:cs="Times New Roman" w:eastAsia="Times New Roman" w:hAnsi="Times New Roman"/>
          <w:sz w:val="18"/>
          <w:szCs w:val="18"/>
          <w:color w:val="auto"/>
        </w:rPr>
        <w:t>. The Company and Selling Shareholders have conducted their own independent investigation, review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2.24 No Other Representations or Warranties. </w:t>
      </w:r>
      <w:r>
        <w:rPr>
          <w:rFonts w:ascii="Times New Roman" w:cs="Times New Roman" w:eastAsia="Times New Roman" w:hAnsi="Times New Roman"/>
          <w:sz w:val="18"/>
          <w:szCs w:val="18"/>
          <w:color w:val="auto"/>
        </w:rPr>
        <w:t>The Company and Selling Shareholders hereby acknowledge and agree that, except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each case as qualified and limited by the Parent Disclosure Schedule)) none of the Company, or any of its representatives or the Selling Shareholders, has relied on any such information (including the accuracy or completeness thereof).</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2.25 Full Disclosure</w:t>
      </w:r>
      <w:r>
        <w:rPr>
          <w:rFonts w:ascii="Times New Roman" w:cs="Times New Roman" w:eastAsia="Times New Roman" w:hAnsi="Times New Roman"/>
          <w:sz w:val="18"/>
          <w:szCs w:val="18"/>
          <w:color w:val="auto"/>
        </w:rPr>
        <w:t>. The representations and warranties made by the Company and Selling Shareholders in this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Parent represents and warrants to the Company and Selling Shareholders that, except as set forth in the Parent SEC Documents and the Parent Disclosure Schedule:</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Organization, Standing and Corporate Power. </w:t>
      </w:r>
      <w:r>
        <w:rPr>
          <w:rFonts w:ascii="Times New Roman" w:cs="Times New Roman" w:eastAsia="Times New Roman" w:hAnsi="Times New Roman"/>
          <w:sz w:val="18"/>
          <w:szCs w:val="18"/>
          <w:color w:val="auto"/>
        </w:rPr>
        <w:t>Parent is duly organized, validly existing and in good standing under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are listed on the Nasdaq under the symbol “</w:t>
      </w:r>
      <w:r>
        <w:rPr>
          <w:rFonts w:ascii="Times New Roman" w:cs="Times New Roman" w:eastAsia="Times New Roman" w:hAnsi="Times New Roman"/>
          <w:sz w:val="18"/>
          <w:szCs w:val="18"/>
          <w:b w:val="1"/>
          <w:bCs w:val="1"/>
          <w:color w:val="auto"/>
        </w:rPr>
        <w:t>BGMS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3.2 Subsidiaries.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Parent has no Subsidiaries.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3.3 Capital Structure of Parent. </w:t>
      </w:r>
      <w:r>
        <w:rPr>
          <w:rFonts w:ascii="Times New Roman" w:cs="Times New Roman" w:eastAsia="Times New Roman" w:hAnsi="Times New Roman"/>
          <w:sz w:val="18"/>
          <w:szCs w:val="18"/>
          <w:color w:val="auto"/>
        </w:rPr>
        <w:t>The authorized capital stock of Parent as of the date hereof consists of (i) 600,000,000 shares of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which 5,519,456 shares are issued and outstanding, and (ii) 5,000,000 shares of Preferred Stock, par value $0.001 (“</w:t>
      </w:r>
      <w:r>
        <w:rPr>
          <w:rFonts w:ascii="Times New Roman" w:cs="Times New Roman" w:eastAsia="Times New Roman" w:hAnsi="Times New Roman"/>
          <w:sz w:val="18"/>
          <w:szCs w:val="18"/>
          <w:b w:val="1"/>
          <w:bCs w:val="1"/>
          <w:color w:val="auto"/>
        </w:rPr>
        <w:t>Parent Preferred Stock</w:t>
      </w:r>
      <w:r>
        <w:rPr>
          <w:rFonts w:ascii="Times New Roman" w:cs="Times New Roman" w:eastAsia="Times New Roman" w:hAnsi="Times New Roman"/>
          <w:sz w:val="18"/>
          <w:szCs w:val="18"/>
          <w:color w:val="auto"/>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3.4 Corporate Authority; Noncontravention</w:t>
      </w:r>
      <w:r>
        <w:rPr>
          <w:rFonts w:ascii="Times New Roman" w:cs="Times New Roman" w:eastAsia="Times New Roman" w:hAnsi="Times New Roman"/>
          <w:sz w:val="18"/>
          <w:szCs w:val="18"/>
          <w:color w:val="auto"/>
        </w:rPr>
        <w:t>. Parent has all requisite corporate power and authority to enter into this Agreement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3.5 Government Authorization</w:t>
      </w:r>
      <w:r>
        <w:rPr>
          <w:rFonts w:ascii="Times New Roman" w:cs="Times New Roman" w:eastAsia="Times New Roman" w:hAnsi="Times New Roman"/>
          <w:sz w:val="18"/>
          <w:szCs w:val="18"/>
          <w:color w:val="auto"/>
        </w:rPr>
        <w:t>. No consent, approval, Order or authorization of, or registration, declaration or filing with, or notice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3.6 SEC Documents; Undisclosed Liabilities; Financial Statements.</w:t>
      </w:r>
    </w:p>
    <w:p>
      <w:pPr>
        <w:spacing w:after="0" w:line="229" w:lineRule="exact"/>
        <w:rPr>
          <w:sz w:val="20"/>
          <w:szCs w:val="20"/>
          <w:color w:val="auto"/>
        </w:rPr>
      </w:pPr>
    </w:p>
    <w:p>
      <w:pPr>
        <w:jc w:val="both"/>
        <w:ind w:left="660" w:firstLine="644"/>
        <w:spacing w:after="0" w:line="252" w:lineRule="auto"/>
        <w:tabs>
          <w:tab w:leader="none" w:pos="15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all reports, schedules, forms, statements and other documents as required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2026 (the “</w:t>
      </w:r>
      <w:r>
        <w:rPr>
          <w:rFonts w:ascii="Times New Roman" w:cs="Times New Roman" w:eastAsia="Times New Roman" w:hAnsi="Times New Roman"/>
          <w:sz w:val="18"/>
          <w:szCs w:val="18"/>
          <w:b w:val="1"/>
          <w:bCs w:val="1"/>
          <w:color w:val="auto"/>
        </w:rPr>
        <w:t>Parent Balance Sheet Date</w:t>
      </w:r>
      <w:r>
        <w:rPr>
          <w:rFonts w:ascii="Times New Roman" w:cs="Times New Roman" w:eastAsia="Times New Roman" w:hAnsi="Times New Roman"/>
          <w:sz w:val="18"/>
          <w:szCs w:val="18"/>
          <w:color w:val="auto"/>
        </w:rPr>
        <w:t>”), there has been no Material Adverse Effect with respect to Parent.</w:t>
      </w:r>
    </w:p>
    <w:p>
      <w:pPr>
        <w:spacing w:after="0" w:line="22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3.7 Absence of Certain Changes</w:t>
      </w:r>
      <w:r>
        <w:rPr>
          <w:rFonts w:ascii="Times New Roman" w:cs="Times New Roman" w:eastAsia="Times New Roman" w:hAnsi="Times New Roman"/>
          <w:sz w:val="18"/>
          <w:szCs w:val="18"/>
          <w:color w:val="auto"/>
        </w:rPr>
        <w:t>. Except as disclosed in the Parent SEC Documents filed prior to the date hereof or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the Parent Balance Sheet Date, Parent has conducted its business only in the ordinary course consistent with past practice in light of its current business circumstances, and there is not and has not been any:</w:t>
      </w:r>
    </w:p>
    <w:p>
      <w:pPr>
        <w:spacing w:after="0" w:line="175" w:lineRule="exact"/>
        <w:rPr>
          <w:sz w:val="20"/>
          <w:szCs w:val="20"/>
          <w:color w:val="auto"/>
        </w:rPr>
      </w:pPr>
    </w:p>
    <w:p>
      <w:pPr>
        <w:ind w:left="660" w:firstLine="644"/>
        <w:spacing w:after="0" w:line="282" w:lineRule="auto"/>
        <w:tabs>
          <w:tab w:leader="none" w:pos="15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 which, if it had taken place following the execution of this Agreement, would not have been permitted by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without prior consent of the Company;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event or occurrence which could reasonably be expected to prevent, hinder or materially delay the ability of Parent to consummate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assumption or guarantee by Parent of any indebtedness for borrowed money other than in the ordinary course and in amounts and on terms consistent with past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other incurrence by Parent of any Lien on any asset other than in the ordinary course consistent with past practices;</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prepayment or discharge of any material liability other than in the ordinary course of business or any failure to pay any material liability when due;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write-offs or write-downs of any Assets of Parent;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destruction or loss of any Assets of Parent having, or reasonably expected to have, a Material Adverse Effect on Parent;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 event or occurrence which individually or in the aggregate could reasonably be expected to have a Material Adverse Effect with respect to Parent; or</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commitment to do any of the foregoing.</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3.8 Certain Fees. </w:t>
      </w:r>
      <w:r>
        <w:rPr>
          <w:rFonts w:ascii="Times New Roman" w:cs="Times New Roman" w:eastAsia="Times New Roman" w:hAnsi="Times New Roman"/>
          <w:sz w:val="18"/>
          <w:szCs w:val="18"/>
          <w:color w:val="auto"/>
        </w:rPr>
        <w:t>No brokerage or finder’s fees or commissions are or will be payable by Parent to any broker, financial advisor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 placement agent, investment banker, bank or other person with respect to the transactions contemplated by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3.9 Litigation; Labor Matters; Compliance with Laws.</w:t>
      </w:r>
    </w:p>
    <w:p>
      <w:pPr>
        <w:spacing w:after="0" w:line="229" w:lineRule="exact"/>
        <w:rPr>
          <w:sz w:val="20"/>
          <w:szCs w:val="20"/>
          <w:color w:val="auto"/>
        </w:rPr>
      </w:pPr>
    </w:p>
    <w:p>
      <w:pPr>
        <w:jc w:val="both"/>
        <w:ind w:left="660" w:firstLine="644"/>
        <w:spacing w:after="0" w:line="256" w:lineRule="auto"/>
        <w:tabs>
          <w:tab w:leader="none" w:pos="1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except as set forth on </w:t>
      </w:r>
      <w:r>
        <w:rPr>
          <w:rFonts w:ascii="Times New Roman" w:cs="Times New Roman" w:eastAsia="Times New Roman" w:hAnsi="Times New Roman"/>
          <w:sz w:val="18"/>
          <w:szCs w:val="18"/>
          <w:u w:val="single" w:color="auto"/>
          <w:color w:val="auto"/>
        </w:rPr>
        <w:t>Schedule 3.9</w:t>
      </w:r>
      <w:r>
        <w:rPr>
          <w:rFonts w:ascii="Times New Roman" w:cs="Times New Roman" w:eastAsia="Times New Roman" w:hAnsi="Times New Roman"/>
          <w:sz w:val="18"/>
          <w:szCs w:val="18"/>
          <w:color w:val="auto"/>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3.10 Benefit Plans</w:t>
      </w:r>
      <w:r>
        <w:rPr>
          <w:rFonts w:ascii="Times New Roman" w:cs="Times New Roman" w:eastAsia="Times New Roman" w:hAnsi="Times New Roman"/>
          <w:sz w:val="18"/>
          <w:szCs w:val="18"/>
          <w:color w:val="auto"/>
        </w:rPr>
        <w:t>. Except as set forth in the SEC Parent Documents, Parent is not a party to any Benefit Plan under which Parent currently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obligation to provide benefits to any current or former employee, officer or director of Parent.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color w:val="auto"/>
        </w:rPr>
        <w:t>3.11 Tax Returns and Tax Payments.</w:t>
      </w:r>
    </w:p>
    <w:p>
      <w:pPr>
        <w:spacing w:after="0" w:line="229" w:lineRule="exact"/>
        <w:rPr>
          <w:sz w:val="20"/>
          <w:szCs w:val="20"/>
          <w:color w:val="auto"/>
        </w:rPr>
      </w:pPr>
    </w:p>
    <w:p>
      <w:pPr>
        <w:jc w:val="both"/>
        <w:ind w:left="660" w:firstLine="644"/>
        <w:spacing w:after="0" w:line="253" w:lineRule="auto"/>
        <w:tabs>
          <w:tab w:leader="none" w:pos="15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3.12 Environmental Matters. </w:t>
      </w:r>
      <w:r>
        <w:rPr>
          <w:rFonts w:ascii="Times New Roman" w:cs="Times New Roman" w:eastAsia="Times New Roman" w:hAnsi="Times New Roman"/>
          <w:sz w:val="18"/>
          <w:szCs w:val="18"/>
          <w:color w:val="auto"/>
        </w:rPr>
        <w:t>Except for such matters as would not reasonably be expected to have, individually or in the aggregate,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3.13 Material Contract Defaults</w:t>
      </w:r>
      <w:r>
        <w:rPr>
          <w:rFonts w:ascii="Times New Roman" w:cs="Times New Roman" w:eastAsia="Times New Roman" w:hAnsi="Times New Roman"/>
          <w:sz w:val="18"/>
          <w:szCs w:val="18"/>
          <w:color w:val="auto"/>
        </w:rPr>
        <w:t>. Parent is not and has not received any written notice or has any Knowledge that any other Party is, in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that is in effect as of the Closing Date to which Parent is a party (i) with expected receipts or expenditures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3.14 Accounts Receivable</w:t>
      </w:r>
      <w:r>
        <w:rPr>
          <w:rFonts w:ascii="Times New Roman" w:cs="Times New Roman" w:eastAsia="Times New Roman" w:hAnsi="Times New Roman"/>
          <w:sz w:val="18"/>
          <w:szCs w:val="18"/>
          <w:color w:val="auto"/>
        </w:rPr>
        <w:t>. All of the accounts receivable of Parent that are reflected on the most recent balance sheet included in the Parent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the accounting records of Parent as of the Closing (collectively, the “</w:t>
      </w:r>
      <w:r>
        <w:rPr>
          <w:rFonts w:ascii="Times New Roman" w:cs="Times New Roman" w:eastAsia="Times New Roman" w:hAnsi="Times New Roman"/>
          <w:sz w:val="18"/>
          <w:szCs w:val="18"/>
          <w:b w:val="1"/>
          <w:bCs w:val="1"/>
          <w:color w:val="auto"/>
        </w:rPr>
        <w:t>Parent Accounts Receivable</w:t>
      </w:r>
      <w:r>
        <w:rPr>
          <w:rFonts w:ascii="Times New Roman" w:cs="Times New Roman" w:eastAsia="Times New Roman" w:hAnsi="Times New Roman"/>
          <w:sz w:val="18"/>
          <w:szCs w:val="18"/>
          <w:color w:val="auto"/>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3.15 Properties</w:t>
      </w:r>
      <w:r>
        <w:rPr>
          <w:rFonts w:ascii="Times New Roman" w:cs="Times New Roman" w:eastAsia="Times New Roman" w:hAnsi="Times New Roman"/>
          <w:sz w:val="18"/>
          <w:szCs w:val="18"/>
          <w:color w:val="auto"/>
        </w:rPr>
        <w:t>. Parent has valid land use rights for all real property that is material to its business and good, clear and marketable title to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3.16 Intellectual Property</w:t>
      </w:r>
      <w:r>
        <w:rPr>
          <w:rFonts w:ascii="Times New Roman" w:cs="Times New Roman" w:eastAsia="Times New Roman" w:hAnsi="Times New Roman"/>
          <w:sz w:val="18"/>
          <w:szCs w:val="18"/>
          <w:color w:val="auto"/>
        </w:rPr>
        <w:t>. Parent owns or has valid rights to use the Trademarks, trade names, domain names, copyrights, patents, logos,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 none of Parent’s Intellectual Property or Parent’s License Agreements infringe upon the rights of any third party that may give rise to a cause of action or claim against Parent or its successors.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3.17 Board Determination and Vote Required. </w:t>
      </w:r>
      <w:r>
        <w:rPr>
          <w:rFonts w:ascii="Times New Roman" w:cs="Times New Roman" w:eastAsia="Times New Roman" w:hAnsi="Times New Roman"/>
          <w:sz w:val="18"/>
          <w:szCs w:val="18"/>
          <w:color w:val="auto"/>
        </w:rPr>
        <w:t>The Board of Directors of Parent has unanimously determined that the terms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transactions contemplated under this Agreement are fair to and in the best interests of Parent and its stockholders. The affirmative vote of a majority of</w:t>
      </w:r>
    </w:p>
    <w:p>
      <w:pPr>
        <w:spacing w:after="0" w:line="1" w:lineRule="exact"/>
        <w:rPr>
          <w:sz w:val="20"/>
          <w:szCs w:val="20"/>
          <w:color w:val="auto"/>
        </w:rPr>
      </w:pPr>
    </w:p>
    <w:p>
      <w:pPr>
        <w:jc w:val="both"/>
        <w:ind w:firstLine="8"/>
        <w:spacing w:after="0" w:line="252"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 w:cs="Times New Roman" w:eastAsia="Times New Roman" w:hAnsi="Times New Roman"/>
          <w:sz w:val="18"/>
          <w:szCs w:val="18"/>
          <w:b w:val="1"/>
          <w:bCs w:val="1"/>
          <w:color w:val="auto"/>
        </w:rPr>
        <w:t>Parent Stockholder Exchange Vote</w:t>
      </w:r>
      <w:r>
        <w:rPr>
          <w:rFonts w:ascii="Times New Roman" w:cs="Times New Roman" w:eastAsia="Times New Roman" w:hAnsi="Times New Roman"/>
          <w:sz w:val="18"/>
          <w:szCs w:val="18"/>
          <w:color w:val="auto"/>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Vote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3.18 Required Parent Share Issuance Approval. </w:t>
      </w:r>
      <w:r>
        <w:rPr>
          <w:rFonts w:ascii="Times New Roman" w:cs="Times New Roman" w:eastAsia="Times New Roman" w:hAnsi="Times New Roman"/>
          <w:sz w:val="18"/>
          <w:szCs w:val="18"/>
          <w:color w:val="auto"/>
        </w:rPr>
        <w:t>Parent represents that the issuance of the Parent Common Stock will be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Nasdaq, and the Certificate of Incorporation and Bylaws of Parent.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3.19 Undisclosed Liabilities. </w:t>
      </w:r>
      <w:r>
        <w:rPr>
          <w:rFonts w:ascii="Times New Roman" w:cs="Times New Roman" w:eastAsia="Times New Roman" w:hAnsi="Times New Roman"/>
          <w:sz w:val="18"/>
          <w:szCs w:val="18"/>
          <w:color w:val="auto"/>
        </w:rPr>
        <w:t>Parent has no liabilities or obligations of any nature (whether fixed or unfixed, secured or unsecured, known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or (v) would not reasonably be expected to have, individually or in the aggregate, a Material Adverse Effect on Parent.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3.20 Independent Investigation</w:t>
      </w:r>
      <w:r>
        <w:rPr>
          <w:rFonts w:ascii="Times New Roman" w:cs="Times New Roman" w:eastAsia="Times New Roman" w:hAnsi="Times New Roman"/>
          <w:sz w:val="18"/>
          <w:szCs w:val="18"/>
          <w:color w:val="auto"/>
        </w:rPr>
        <w:t>. Parent has conducted its own independent investigation, review and analysis of the business,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3.21 No Other Representations or Warranties. </w:t>
      </w:r>
      <w:r>
        <w:rPr>
          <w:rFonts w:ascii="Times New Roman" w:cs="Times New Roman" w:eastAsia="Times New Roman" w:hAnsi="Times New Roman"/>
          <w:sz w:val="18"/>
          <w:szCs w:val="18"/>
          <w:color w:val="auto"/>
        </w:rPr>
        <w:t>Parent hereby acknowledges and agrees that, except for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each case as qualified and limited by the Company Disclosure Schedule) none of Parent, or its representatives or stockholders, has relied on any such information (including the accuracy or completeness thereof).</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3.22 Full Disclosure</w:t>
      </w:r>
      <w:r>
        <w:rPr>
          <w:rFonts w:ascii="Times New Roman" w:cs="Times New Roman" w:eastAsia="Times New Roman" w:hAnsi="Times New Roman"/>
          <w:sz w:val="18"/>
          <w:szCs w:val="18"/>
          <w:color w:val="auto"/>
        </w:rPr>
        <w:t>. The representations and warranties made by Parent in this Agreement, including the Parent Disclosure Schedules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4.1 Conduct of the Company Business</w:t>
      </w:r>
      <w:r>
        <w:rPr>
          <w:rFonts w:ascii="Times New Roman" w:cs="Times New Roman" w:eastAsia="Times New Roman" w:hAnsi="Times New Roman"/>
          <w:sz w:val="18"/>
          <w:szCs w:val="18"/>
          <w:color w:val="auto"/>
        </w:rPr>
        <w:t>. From the date of this Agreement until the earlier of the Effective Time or the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right="20" w:firstLine="644"/>
        <w:spacing w:after="0" w:line="282" w:lineRule="auto"/>
        <w:tabs>
          <w:tab w:leader="none" w:pos="15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except in the ordinary course of business, or create or suffer to exist any material lien or other encumbrance upon any of its assets which will not be discharged in full prior to the Effective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otherwise transfer any of its assets, or cancel or compromise any debts or claims relating to its assets, other than in each case in the ordinary course of business and consistent with past practice;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permit any Material Adverse Effect to occur with respect to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accounting or bookkeeping methods, principles or practices, except as required by GAAP;</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distribution with respect to its capital shares;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Governing Documents;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in excess of $250,000 individually or $500,000 in the aggregate;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consolidation, acquisition of stock or assets, or otherwise) any other Person or any material assets, licenses, rights, or properties;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except in the ordinary course of business;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modify, or terminate any Company Material Contract;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any officer, director, or employee with annual compensation in excess of $100,000, or materially increase the compensation or benefits of any such Person;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claim, action, or proceeding;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4.2 Reserved.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4.3 Satisfaction of Conditions Precedent</w:t>
      </w:r>
      <w:r>
        <w:rPr>
          <w:rFonts w:ascii="Times New Roman" w:cs="Times New Roman" w:eastAsia="Times New Roman" w:hAnsi="Times New Roman"/>
          <w:sz w:val="18"/>
          <w:szCs w:val="18"/>
          <w:color w:val="auto"/>
        </w:rPr>
        <w:t>. Upon the terms and subject to the conditions set forth in this Agreement,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(ii) cause the Exchange and the other transactions contemplated by this Agreement to be consummated.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4.4 No Other Negotiations. </w:t>
      </w:r>
      <w:r>
        <w:rPr>
          <w:rFonts w:ascii="Times New Roman" w:cs="Times New Roman" w:eastAsia="Times New Roman" w:hAnsi="Times New Roman"/>
          <w:sz w:val="18"/>
          <w:szCs w:val="18"/>
          <w:color w:val="auto"/>
        </w:rPr>
        <w:t>As of the date of this Agreement, the Company or the Selling Shareholders have not entered into any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 w:cs="Times New Roman" w:eastAsia="Times New Roman" w:hAnsi="Times New Roman"/>
          <w:sz w:val="18"/>
          <w:szCs w:val="18"/>
          <w:b w:val="1"/>
          <w:bCs w:val="1"/>
          <w:color w:val="auto"/>
        </w:rPr>
        <w:t>Alternative Acquisition</w:t>
      </w:r>
      <w:r>
        <w:rPr>
          <w:rFonts w:ascii="Times New Roman" w:cs="Times New Roman" w:eastAsia="Times New Roman" w:hAnsi="Times New Roman"/>
          <w:sz w:val="18"/>
          <w:szCs w:val="18"/>
          <w:color w:val="auto"/>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Access. </w:t>
      </w:r>
      <w:r>
        <w:rPr>
          <w:rFonts w:ascii="Times New Roman" w:cs="Times New Roman" w:eastAsia="Times New Roman" w:hAnsi="Times New Roman"/>
          <w:sz w:val="18"/>
          <w:szCs w:val="18"/>
          <w:color w:val="auto"/>
        </w:rPr>
        <w:t>From the date of this Agreement until the earlier to occur of the Effective Time or the termination of this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4.6 Notification of Certain Matters</w:t>
      </w:r>
      <w:r>
        <w:rPr>
          <w:rFonts w:ascii="Times New Roman" w:cs="Times New Roman" w:eastAsia="Times New Roman" w:hAnsi="Times New Roman"/>
          <w:sz w:val="18"/>
          <w:szCs w:val="18"/>
          <w:color w:val="auto"/>
        </w:rPr>
        <w:t>. The Company shall give prompt notice to Parent of any event, change or effect between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Effective Time that causes or is reasonably likely to cause the failure of the any of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7.2(e)</w:t>
      </w:r>
      <w:r>
        <w:rPr>
          <w:rFonts w:ascii="Times New Roman" w:cs="Times New Roman" w:eastAsia="Times New Roman" w:hAnsi="Times New Roman"/>
          <w:sz w:val="18"/>
          <w:szCs w:val="18"/>
          <w:color w:val="auto"/>
        </w:rPr>
        <w:t xml:space="preserve"> to be satisfied.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PARENT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 Obligations of Parent</w:t>
      </w:r>
      <w:r>
        <w:rPr>
          <w:rFonts w:ascii="Times New Roman" w:cs="Times New Roman" w:eastAsia="Times New Roman" w:hAnsi="Times New Roman"/>
          <w:sz w:val="18"/>
          <w:szCs w:val="18"/>
          <w:color w:val="auto"/>
        </w:rPr>
        <w:t>. Parent shall take all action necessary to perform its obligations under this Agreement and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on the terms and conditions set forth in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5.2 Conduct of the Parent Business</w:t>
      </w:r>
      <w:r>
        <w:rPr>
          <w:rFonts w:ascii="Times New Roman" w:cs="Times New Roman" w:eastAsia="Times New Roman" w:hAnsi="Times New Roman"/>
          <w:sz w:val="18"/>
          <w:szCs w:val="18"/>
          <w:color w:val="auto"/>
        </w:rPr>
        <w:t>. From the date of this Agreement until earlier of the Effective Time or the termination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 w:cs="Times New Roman" w:eastAsia="Times New Roman" w:hAnsi="Times New Roman"/>
          <w:sz w:val="18"/>
          <w:szCs w:val="18"/>
          <w:u w:val="single" w:color="auto"/>
          <w:color w:val="auto"/>
        </w:rPr>
        <w:t>Schedule 5.2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right="20" w:firstLine="644"/>
        <w:spacing w:after="0" w:line="282" w:lineRule="auto"/>
        <w:tabs>
          <w:tab w:leader="none" w:pos="1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except in the ordinary course of business, or create or suffer to exist any material lien or other encumbrance upon any of its assets which will not be discharged in full prior to the Effective Time;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or otherwise transfer any of its assets, or cancel or compromise any debts or claims relating to its assets, other than in each case in the ordinary course of business and consistent with past practice;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permit any Material Adverse Effect to occur with respect to Parent;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with respect in its accounting or bookkeeping methods, principles or practices, except as required by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or</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5.3 Access</w:t>
      </w:r>
      <w:r>
        <w:rPr>
          <w:rFonts w:ascii="Times New Roman" w:cs="Times New Roman" w:eastAsia="Times New Roman" w:hAnsi="Times New Roman"/>
          <w:sz w:val="18"/>
          <w:szCs w:val="18"/>
          <w:color w:val="auto"/>
        </w:rPr>
        <w:t>. From the date of this Agreement until the earlier to occur of the Effective Time or the termination of this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5.4 Notification of Certain Matters</w:t>
      </w:r>
      <w:r>
        <w:rPr>
          <w:rFonts w:ascii="Times New Roman" w:cs="Times New Roman" w:eastAsia="Times New Roman" w:hAnsi="Times New Roman"/>
          <w:sz w:val="18"/>
          <w:szCs w:val="18"/>
          <w:color w:val="auto"/>
        </w:rPr>
        <w:t>. Parent shall give prompt notice to the Company of any event, change or effect between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Effective Time that causes or is reasonably likely to cause the failure of any of the conditions set forth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7.3(e)</w:t>
      </w:r>
      <w:r>
        <w:rPr>
          <w:rFonts w:ascii="Times New Roman" w:cs="Times New Roman" w:eastAsia="Times New Roman" w:hAnsi="Times New Roman"/>
          <w:sz w:val="18"/>
          <w:szCs w:val="18"/>
          <w:color w:val="auto"/>
        </w:rPr>
        <w:t xml:space="preserve"> to be satisfied.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5.5 Listing</w:t>
      </w:r>
      <w:r>
        <w:rPr>
          <w:rFonts w:ascii="Times New Roman" w:cs="Times New Roman" w:eastAsia="Times New Roman" w:hAnsi="Times New Roman"/>
          <w:sz w:val="18"/>
          <w:szCs w:val="18"/>
          <w:color w:val="auto"/>
        </w:rPr>
        <w:t>. At or prior to the Effective Time, Parent shall use its commercially reasonable efforts to (a) maintain its listing on Nasdaq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5.6 Satisfaction of Conditions Precedent</w:t>
      </w:r>
      <w:r>
        <w:rPr>
          <w:rFonts w:ascii="Times New Roman" w:cs="Times New Roman" w:eastAsia="Times New Roman" w:hAnsi="Times New Roman"/>
          <w:sz w:val="18"/>
          <w:szCs w:val="18"/>
          <w:color w:val="auto"/>
        </w:rPr>
        <w:t>. Upon the terms and subject to the conditions set forth in this Agreement,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(ii) cause the Exchange and the other transactions contemplated by this Agreement to be consummated.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5.7 Section 16 Matters</w:t>
      </w:r>
      <w:r>
        <w:rPr>
          <w:rFonts w:ascii="Times New Roman" w:cs="Times New Roman" w:eastAsia="Times New Roman" w:hAnsi="Times New Roman"/>
          <w:sz w:val="18"/>
          <w:szCs w:val="18"/>
          <w:color w:val="auto"/>
        </w:rPr>
        <w:t>. Prior to the Effective Time, Parent shall take all such steps as may be required to cause any acquisitions of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5.8 No Other Negotiations</w:t>
      </w:r>
      <w:r>
        <w:rPr>
          <w:rFonts w:ascii="Times New Roman" w:cs="Times New Roman" w:eastAsia="Times New Roman" w:hAnsi="Times New Roman"/>
          <w:sz w:val="18"/>
          <w:szCs w:val="18"/>
          <w:color w:val="auto"/>
        </w:rPr>
        <w:t>. As of the date of this Agreement, Parent has not entered into any agreement or understanding with, and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 w:cs="Times New Roman" w:eastAsia="Times New Roman" w:hAnsi="Times New Roman"/>
          <w:sz w:val="18"/>
          <w:szCs w:val="18"/>
          <w:b w:val="1"/>
          <w:bCs w:val="1"/>
          <w:color w:val="auto"/>
        </w:rPr>
        <w:t>Parent 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(b) provide information with respect to Parent to any Person, other than the Company and its Affiliates, relating to a possible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PARENT AND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 Notices of Certain Events. </w:t>
      </w:r>
      <w:r>
        <w:rPr>
          <w:rFonts w:ascii="Times New Roman" w:cs="Times New Roman" w:eastAsia="Times New Roman" w:hAnsi="Times New Roman"/>
          <w:sz w:val="18"/>
          <w:szCs w:val="18"/>
          <w:color w:val="auto"/>
        </w:rPr>
        <w:t>The Company and Parent shall promptly notify the other Party of:</w:t>
      </w:r>
    </w:p>
    <w:p>
      <w:pPr>
        <w:spacing w:after="0" w:line="229" w:lineRule="exact"/>
        <w:rPr>
          <w:sz w:val="20"/>
          <w:szCs w:val="20"/>
          <w:color w:val="auto"/>
        </w:rPr>
      </w:pPr>
    </w:p>
    <w:p>
      <w:pPr>
        <w:ind w:left="660" w:firstLine="644"/>
        <w:spacing w:after="0" w:line="282" w:lineRule="auto"/>
        <w:tabs>
          <w:tab w:leader="none" w:pos="15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of such Person is or may be required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Governmental Entity in connection with the transactions contemplated by this Agreement;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that relate to the consummation of the transactions contemplated by this Agreement or any other development causing a breach of any representation or warranty made by a Party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6.2 Public Announcements; Confidentiality</w:t>
      </w:r>
      <w:r>
        <w:rPr>
          <w:rFonts w:ascii="Times New Roman" w:cs="Times New Roman" w:eastAsia="Times New Roman" w:hAnsi="Times New Roman"/>
          <w:sz w:val="18"/>
          <w:szCs w:val="18"/>
          <w:color w:val="auto"/>
        </w:rPr>
        <w:t>. No Party shall have the right to issue any press release or other public statement with respect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 w:cs="Times New Roman" w:eastAsia="Times New Roman" w:hAnsi="Times New Roman"/>
          <w:sz w:val="18"/>
          <w:szCs w:val="18"/>
          <w:u w:val="single" w:color="auto"/>
          <w:color w:val="auto"/>
        </w:rPr>
        <w:t>Sections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6.3 Transfer Taxes</w:t>
      </w:r>
      <w:r>
        <w:rPr>
          <w:rFonts w:ascii="Times New Roman" w:cs="Times New Roman" w:eastAsia="Times New Roman" w:hAnsi="Times New Roman"/>
          <w:sz w:val="18"/>
          <w:szCs w:val="18"/>
          <w:color w:val="auto"/>
        </w:rPr>
        <w:t>. Parent and the Company shall cooperate in the preparation, execution and filing of all returns, questionnaires, applications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6.4 Reasonable Efforts</w:t>
      </w:r>
      <w:r>
        <w:rPr>
          <w:rFonts w:ascii="Times New Roman" w:cs="Times New Roman" w:eastAsia="Times New Roman" w:hAnsi="Times New Roman"/>
          <w:sz w:val="18"/>
          <w:szCs w:val="18"/>
          <w:color w:val="auto"/>
        </w:rPr>
        <w:t>. The parties further agree to use their reasonable best efforts to take, or cause to be taken, all actions, and to do,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6.5 Fees and Expenses</w:t>
      </w:r>
      <w:r>
        <w:rPr>
          <w:rFonts w:ascii="Times New Roman" w:cs="Times New Roman" w:eastAsia="Times New Roman" w:hAnsi="Times New Roman"/>
          <w:sz w:val="18"/>
          <w:szCs w:val="18"/>
          <w:color w:val="auto"/>
        </w:rPr>
        <w:t>. All fees and expenses incurred by any Party in connection with this Agreement and the transactions contemplated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6.6 Legends. </w:t>
      </w:r>
      <w:r>
        <w:rPr>
          <w:rFonts w:ascii="Times New Roman" w:cs="Times New Roman" w:eastAsia="Times New Roman" w:hAnsi="Times New Roman"/>
          <w:sz w:val="18"/>
          <w:szCs w:val="18"/>
          <w:color w:val="auto"/>
        </w:rPr>
        <w:t>Parent shall be entitled to place appropriate legends on the book entries and/or certificates evidencing any shares of Parent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6.7 Registration Statement; Proxy 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3" w:lineRule="auto"/>
        <w:tabs>
          <w:tab w:leader="none" w:pos="15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(ii) Parent, in cooperation with the Company,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the Proxy Statement shall be included as a part (the Proxy Statement and the Form S-4,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460" w:firstLine="644"/>
        <w:spacing w:after="0" w:line="252" w:lineRule="auto"/>
        <w:tabs>
          <w:tab w:leader="none" w:pos="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Required S-4 Information</w:t>
      </w:r>
      <w:r>
        <w:rPr>
          <w:rFonts w:ascii="Times New Roman" w:cs="Times New Roman" w:eastAsia="Times New Roman" w:hAnsi="Times New Roman"/>
          <w:sz w:val="18"/>
          <w:szCs w:val="18"/>
          <w:color w:val="auto"/>
        </w:rPr>
        <w:t>”). Without limiting the foregoing, the Company will use commercially reasonable efforts to cause to be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7" w:name="page38"/>
    <w:bookmarkEnd w:id="37"/>
    <w:p>
      <w:pPr>
        <w:jc w:val="both"/>
        <w:ind w:firstLine="644"/>
        <w:spacing w:after="0" w:line="252" w:lineRule="auto"/>
        <w:tabs>
          <w:tab w:leader="none" w:pos="8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 w:cs="Times New Roman" w:eastAsia="Times New Roman" w:hAnsi="Times New Roman"/>
          <w:sz w:val="18"/>
          <w:szCs w:val="18"/>
          <w:b w:val="1"/>
          <w:bCs w:val="1"/>
          <w:color w:val="auto"/>
        </w:rPr>
        <w:t>Company Audited Financial Statements</w:t>
      </w:r>
      <w:r>
        <w:rPr>
          <w:rFonts w:ascii="Times New Roman" w:cs="Times New Roman" w:eastAsia="Times New Roman" w:hAnsi="Times New Roman"/>
          <w:sz w:val="18"/>
          <w:szCs w:val="18"/>
          <w:color w:val="auto"/>
        </w:rPr>
        <w:t>”), (ii) prior to May 31, 2026, unaudited interim financial statements for the interim period completed March 31, 2026 (the “</w:t>
      </w:r>
      <w:r>
        <w:rPr>
          <w:rFonts w:ascii="Times New Roman" w:cs="Times New Roman" w:eastAsia="Times New Roman" w:hAnsi="Times New Roman"/>
          <w:sz w:val="18"/>
          <w:szCs w:val="18"/>
          <w:b w:val="1"/>
          <w:bCs w:val="1"/>
          <w:color w:val="auto"/>
        </w:rPr>
        <w:t>Company Q1 2026 Interim Financial Statements</w:t>
      </w:r>
      <w:r>
        <w:rPr>
          <w:rFonts w:ascii="Times New Roman" w:cs="Times New Roman" w:eastAsia="Times New Roman" w:hAnsi="Times New Roman"/>
          <w:sz w:val="18"/>
          <w:szCs w:val="18"/>
          <w:color w:val="auto"/>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Interim Financial Statements</w:t>
      </w:r>
      <w:r>
        <w:rPr>
          <w:rFonts w:ascii="Times New Roman" w:cs="Times New Roman" w:eastAsia="Times New Roman" w:hAnsi="Times New Roman"/>
          <w:sz w:val="18"/>
          <w:szCs w:val="18"/>
          <w:color w:val="auto"/>
        </w:rPr>
        <w:t>” and together with the Company Q1 2026 Interim Financial Statements, the “</w:t>
      </w:r>
      <w:r>
        <w:rPr>
          <w:rFonts w:ascii="Times New Roman" w:cs="Times New Roman" w:eastAsia="Times New Roman" w:hAnsi="Times New Roman"/>
          <w:sz w:val="18"/>
          <w:szCs w:val="18"/>
          <w:b w:val="1"/>
          <w:bCs w:val="1"/>
          <w:color w:val="auto"/>
        </w:rPr>
        <w:t>Company Interim Financial Statements</w:t>
      </w:r>
      <w:r>
        <w:rPr>
          <w:rFonts w:ascii="Times New Roman" w:cs="Times New Roman" w:eastAsia="Times New Roman" w:hAnsi="Times New Roman"/>
          <w:sz w:val="18"/>
          <w:szCs w:val="18"/>
          <w:color w:val="auto"/>
        </w:rPr>
        <w:t>”). Each of the Company Audited Financial Statements and the Company Interim Financial Statements will be suitable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6.8 Company Shareholder Written Consent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6" w:lineRule="auto"/>
        <w:tabs>
          <w:tab w:leader="none" w:pos="8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 w:cs="Times New Roman" w:eastAsia="Times New Roman" w:hAnsi="Times New Roman"/>
          <w:sz w:val="18"/>
          <w:szCs w:val="18"/>
          <w:b w:val="1"/>
          <w:bCs w:val="1"/>
          <w:color w:val="auto"/>
        </w:rPr>
        <w:t>Company Shareholder Written Consents</w:t>
      </w:r>
      <w:r>
        <w:rPr>
          <w:rFonts w:ascii="Times New Roman" w:cs="Times New Roman" w:eastAsia="Times New Roman" w:hAnsi="Times New Roman"/>
          <w:sz w:val="18"/>
          <w:szCs w:val="18"/>
          <w:color w:val="auto"/>
        </w:rPr>
        <w:t>”). Under no circumstances shall the Company assert that any other approval or consent is necessary by the Selling Shareholders to approve this Agreement and the transactions contemplated under this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9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(the recommendation of the Company Board that the Selling Shareholders vote to adopt and approve this Agreement being referred to as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color w:val="auto"/>
        </w:rPr>
        <w:t>6.9 Parent Stockholder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 w:cs="Times New Roman" w:eastAsia="Times New Roman" w:hAnsi="Times New Roman"/>
          <w:sz w:val="18"/>
          <w:szCs w:val="18"/>
          <w:b w:val="1"/>
          <w:bCs w:val="1"/>
          <w:color w:val="auto"/>
        </w:rPr>
        <w:t>Parent Stockholder Exchange Approval Matter</w:t>
      </w:r>
      <w:r>
        <w:rPr>
          <w:rFonts w:ascii="Times New Roman" w:cs="Times New Roman" w:eastAsia="Times New Roman" w:hAnsi="Times New Roman"/>
          <w:sz w:val="18"/>
          <w:szCs w:val="18"/>
          <w:color w:val="auto"/>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 w:cs="Times New Roman" w:eastAsia="Times New Roman" w:hAnsi="Times New Roman"/>
          <w:sz w:val="18"/>
          <w:szCs w:val="18"/>
          <w:b w:val="1"/>
          <w:bCs w:val="1"/>
          <w:color w:val="auto"/>
        </w:rPr>
        <w:t>Parent Stockholder Matters</w:t>
      </w:r>
      <w:r>
        <w:rPr>
          <w:rFonts w:ascii="Times New Roman" w:cs="Times New Roman" w:eastAsia="Times New Roman" w:hAnsi="Times New Roman"/>
          <w:sz w:val="18"/>
          <w:szCs w:val="18"/>
          <w:color w:val="auto"/>
        </w:rPr>
        <w:t>” and such meeting, the “</w:t>
      </w:r>
      <w:r>
        <w:rPr>
          <w:rFonts w:ascii="Times New Roman" w:cs="Times New Roman" w:eastAsia="Times New Roman" w:hAnsi="Times New Roman"/>
          <w:sz w:val="18"/>
          <w:szCs w:val="18"/>
          <w:b w:val="1"/>
          <w:bCs w:val="1"/>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The Parent Stockholder Meeting shall be held as promptly as practicable after the date that the Registration Statement is declared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EXCHANGE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 Condition to Obligation of Each Party to Effect the Exchange</w:t>
      </w:r>
      <w:r>
        <w:rPr>
          <w:rFonts w:ascii="Times New Roman" w:cs="Times New Roman" w:eastAsia="Times New Roman" w:hAnsi="Times New Roman"/>
          <w:sz w:val="18"/>
          <w:szCs w:val="18"/>
          <w:color w:val="auto"/>
        </w:rPr>
        <w:t>. The respective obligations of Parent, the Company and the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to consummate the transactions contemplated herein are subject to the satisfaction or waiver in writing prior to the Effective Time of the following conditions:</w:t>
      </w:r>
    </w:p>
    <w:p>
      <w:pPr>
        <w:spacing w:after="0" w:line="171" w:lineRule="exact"/>
        <w:rPr>
          <w:sz w:val="20"/>
          <w:szCs w:val="20"/>
          <w:color w:val="auto"/>
        </w:rPr>
      </w:pPr>
    </w:p>
    <w:p>
      <w:pPr>
        <w:jc w:val="both"/>
        <w:ind w:left="660" w:firstLine="644"/>
        <w:spacing w:after="0" w:line="262" w:lineRule="auto"/>
        <w:tabs>
          <w:tab w:leader="none" w:pos="15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Injunctions</w:t>
      </w:r>
      <w:r>
        <w:rPr>
          <w:rFonts w:ascii="Times New Roman" w:cs="Times New Roman" w:eastAsia="Times New Roman" w:hAnsi="Times New Roman"/>
          <w:sz w:val="18"/>
          <w:szCs w:val="18"/>
          <w:color w:val="auto"/>
        </w:rPr>
        <w:t>. No temporary restraining Order, preliminary or permanent injunction issued by any court of competent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spacing w:after="0" w:line="176"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Parent shall have obtained the Parent Stockholder Exchange Vote and the Company shall have obtained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Company Shareholder Vote.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ind w:left="660" w:firstLine="644"/>
        <w:spacing w:after="0" w:line="257" w:lineRule="auto"/>
        <w:tabs>
          <w:tab w:leader="none" w:pos="1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 of Registration Statement</w:t>
      </w:r>
      <w:r>
        <w:rPr>
          <w:rFonts w:ascii="Times New Roman" w:cs="Times New Roman" w:eastAsia="Times New Roman" w:hAnsi="Times New Roman"/>
          <w:sz w:val="18"/>
          <w:szCs w:val="18"/>
          <w:color w:val="auto"/>
        </w:rPr>
        <w:t>. The Registration Statement shall have become effective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spacing w:after="0" w:line="182"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The shares of Parent Common Stock to be issued in the Exchange pursuant to this Agreement shall have been approved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(subject to official notice of issuance) on Nasdaq as of the Closing.</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Value of Exchange Shares</w:t>
      </w:r>
      <w:r>
        <w:rPr>
          <w:rFonts w:ascii="Times New Roman" w:cs="Times New Roman" w:eastAsia="Times New Roman" w:hAnsi="Times New Roman"/>
          <w:sz w:val="18"/>
          <w:szCs w:val="18"/>
          <w:color w:val="auto"/>
        </w:rPr>
        <w:t>. Parent and the Selling Shareholders shall agree in writing that the Exchange Shares represent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7.2 Additional Conditions to Obligations of Parent</w:t>
      </w:r>
      <w:r>
        <w:rPr>
          <w:rFonts w:ascii="Times New Roman" w:cs="Times New Roman" w:eastAsia="Times New Roman" w:hAnsi="Times New Roman"/>
          <w:sz w:val="18"/>
          <w:szCs w:val="18"/>
          <w:color w:val="auto"/>
        </w:rPr>
        <w:t>. The obligations of Parent to consummate the transactions contemplated herein are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or waiver in writing prior to the Effective Time of the following conditions:</w:t>
      </w:r>
    </w:p>
    <w:p>
      <w:pPr>
        <w:spacing w:after="0" w:line="155" w:lineRule="exact"/>
        <w:rPr>
          <w:sz w:val="20"/>
          <w:szCs w:val="20"/>
          <w:color w:val="auto"/>
        </w:rPr>
      </w:pPr>
    </w:p>
    <w:p>
      <w:pPr>
        <w:jc w:val="both"/>
        <w:ind w:left="660" w:firstLine="644"/>
        <w:spacing w:after="0" w:line="257" w:lineRule="auto"/>
        <w:tabs>
          <w:tab w:leader="none" w:pos="15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each of the Company and the Selling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and Covenants</w:t>
      </w:r>
      <w:r>
        <w:rPr>
          <w:rFonts w:ascii="Times New Roman" w:cs="Times New Roman" w:eastAsia="Times New Roman" w:hAnsi="Times New Roman"/>
          <w:sz w:val="18"/>
          <w:szCs w:val="18"/>
          <w:color w:val="auto"/>
        </w:rPr>
        <w:t>. Each of the Company and the Selling Shareholders shall have performed in all material respects,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spacing w:after="0" w:line="17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Secretary</w:t>
      </w:r>
      <w:r>
        <w:rPr>
          <w:rFonts w:ascii="Times New Roman" w:cs="Times New Roman" w:eastAsia="Times New Roman" w:hAnsi="Times New Roman"/>
          <w:sz w:val="18"/>
          <w:szCs w:val="18"/>
          <w:color w:val="auto"/>
        </w:rPr>
        <w:t>. The Company shall have delivered to Parent a certificate executed by the Secretary of the Company,</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Obtained</w:t>
      </w:r>
      <w:r>
        <w:rPr>
          <w:rFonts w:ascii="Times New Roman" w:cs="Times New Roman" w:eastAsia="Times New Roman" w:hAnsi="Times New Roman"/>
          <w:sz w:val="18"/>
          <w:szCs w:val="18"/>
          <w:color w:val="auto"/>
        </w:rPr>
        <w:t>. All consents, waivers, approvals, authorizations or Orders required to be obtained, and all filings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firstLine="644"/>
        <w:spacing w:after="0" w:line="286" w:lineRule="auto"/>
        <w:tabs>
          <w:tab w:leader="none" w:pos="1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Absence of Material Adverse Effect</w:t>
      </w:r>
      <w:r>
        <w:rPr>
          <w:rFonts w:ascii="Times New Roman" w:cs="Times New Roman" w:eastAsia="Times New Roman" w:hAnsi="Times New Roman"/>
          <w:sz w:val="18"/>
          <w:szCs w:val="18"/>
          <w:color w:val="auto"/>
        </w:rPr>
        <w:t>. Since the date of this Agreement, there shall not have been any Material Adverse Effect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Company.</w:t>
      </w:r>
    </w:p>
    <w:p>
      <w:pPr>
        <w:spacing w:after="0" w:line="154"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Shareholder Written Consent</w:t>
      </w:r>
      <w:r>
        <w:rPr>
          <w:rFonts w:ascii="Times New Roman" w:cs="Times New Roman" w:eastAsia="Times New Roman" w:hAnsi="Times New Roman"/>
          <w:sz w:val="18"/>
          <w:szCs w:val="18"/>
          <w:color w:val="auto"/>
        </w:rPr>
        <w:t>. The Company Shareholder Written Consent executed by the Selling Shareholders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full force and effect.</w:t>
      </w:r>
    </w:p>
    <w:p>
      <w:pPr>
        <w:spacing w:after="0" w:line="154"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Due Diligence. </w:t>
      </w:r>
      <w:r>
        <w:rPr>
          <w:rFonts w:ascii="Times New Roman" w:cs="Times New Roman" w:eastAsia="Times New Roman" w:hAnsi="Times New Roman"/>
          <w:sz w:val="18"/>
          <w:szCs w:val="18"/>
          <w:color w:val="auto"/>
        </w:rPr>
        <w:t>Parent shall have completed its legal, financial, tax, commercial, and operational due diligence review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Parent’s reasonable satisfaction, except to the extent any issues arising from such due diligence review are specifically disclosed in the Company Disclosure Schedule.</w:t>
      </w:r>
    </w:p>
    <w:p>
      <w:pPr>
        <w:spacing w:after="0" w:line="170" w:lineRule="exact"/>
        <w:rPr>
          <w:rFonts w:ascii="Times New Roman" w:cs="Times New Roman" w:eastAsia="Times New Roman" w:hAnsi="Times New Roman"/>
          <w:sz w:val="18"/>
          <w:szCs w:val="18"/>
          <w:color w:val="auto"/>
        </w:rPr>
      </w:pPr>
    </w:p>
    <w:p>
      <w:pPr>
        <w:ind w:left="660" w:firstLine="644"/>
        <w:spacing w:after="0" w:line="286" w:lineRule="auto"/>
        <w:tabs>
          <w:tab w:leader="none" w:pos="15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Selling Shareholder Representation Letter</w:t>
      </w:r>
      <w:r>
        <w:rPr>
          <w:rFonts w:ascii="Times New Roman" w:cs="Times New Roman" w:eastAsia="Times New Roman" w:hAnsi="Times New Roman"/>
          <w:sz w:val="18"/>
          <w:szCs w:val="18"/>
          <w:color w:val="auto"/>
        </w:rPr>
        <w:t>. Each of the Selling Shareholders shall have completed and executed the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shareholder representation letter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firstLine="644"/>
        <w:spacing w:after="0" w:line="286" w:lineRule="auto"/>
        <w:tabs>
          <w:tab w:leader="none" w:pos="15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Certain of the Selling Shareholders, as agreed upon by Parent, shall have executed the Lock-Up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7.3 Additional Conditions to Obligations of the Company</w:t>
      </w:r>
      <w:r>
        <w:rPr>
          <w:rFonts w:ascii="Times New Roman" w:cs="Times New Roman" w:eastAsia="Times New Roman" w:hAnsi="Times New Roman"/>
          <w:sz w:val="18"/>
          <w:szCs w:val="18"/>
          <w:color w:val="auto"/>
        </w:rPr>
        <w:t>. The obligations of the Company and the Selling Shareholders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herein are also subject to the satisfaction or waiver in writing prior to the Effective Time of the following conditions:</w:t>
      </w:r>
    </w:p>
    <w:p>
      <w:pPr>
        <w:spacing w:after="0" w:line="155" w:lineRule="exact"/>
        <w:rPr>
          <w:sz w:val="20"/>
          <w:szCs w:val="20"/>
          <w:color w:val="auto"/>
        </w:rPr>
      </w:pPr>
    </w:p>
    <w:p>
      <w:pPr>
        <w:jc w:val="both"/>
        <w:ind w:left="660" w:firstLine="644"/>
        <w:spacing w:after="0" w:line="257"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of Parent contained in this Agreement and in any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and Covenants</w:t>
      </w:r>
      <w:r>
        <w:rPr>
          <w:rFonts w:ascii="Times New Roman" w:cs="Times New Roman" w:eastAsia="Times New Roman" w:hAnsi="Times New Roman"/>
          <w:sz w:val="18"/>
          <w:szCs w:val="18"/>
          <w:color w:val="auto"/>
        </w:rPr>
        <w:t>. Parent shall have performed in all material respects, or complied with in all material respects,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covenants required by this Agreement to be performed or complied with by them prior to the Effective Time, and the Company shall have received a certificate to such effect signed by the Chief Executive Officer of Parent.</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Secretary</w:t>
      </w:r>
      <w:r>
        <w:rPr>
          <w:rFonts w:ascii="Times New Roman" w:cs="Times New Roman" w:eastAsia="Times New Roman" w:hAnsi="Times New Roman"/>
          <w:sz w:val="18"/>
          <w:szCs w:val="18"/>
          <w:color w:val="auto"/>
        </w:rPr>
        <w:t>. Parent shall have delivered to the Company a certificate executed by the Secretary of Parent certifying: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spacing w:after="0" w:line="176"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Obtained</w:t>
      </w:r>
      <w:r>
        <w:rPr>
          <w:rFonts w:ascii="Times New Roman" w:cs="Times New Roman" w:eastAsia="Times New Roman" w:hAnsi="Times New Roman"/>
          <w:sz w:val="18"/>
          <w:szCs w:val="18"/>
          <w:color w:val="auto"/>
        </w:rPr>
        <w:t>. All consents, waivers, approvals, authorizations or Orders required to be obtained, and all filings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Absence of Material Adverse Effect</w:t>
      </w:r>
      <w:r>
        <w:rPr>
          <w:rFonts w:ascii="Times New Roman" w:cs="Times New Roman" w:eastAsia="Times New Roman" w:hAnsi="Times New Roman"/>
          <w:sz w:val="18"/>
          <w:szCs w:val="18"/>
          <w:color w:val="auto"/>
        </w:rPr>
        <w:t>. Since the date of this Agreement, there shall not have been any Material Adverse Effect 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0" w:lineRule="exact"/>
        <w:rPr>
          <w:sz w:val="20"/>
          <w:szCs w:val="20"/>
          <w:color w:val="auto"/>
        </w:rPr>
      </w:pPr>
    </w:p>
    <w:p>
      <w:pPr>
        <w:spacing w:after="0" w:line="24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Termination. </w:t>
      </w:r>
      <w:r>
        <w:rPr>
          <w:rFonts w:ascii="Times New Roman" w:cs="Times New Roman" w:eastAsia="Times New Roman" w:hAnsi="Times New Roman"/>
          <w:sz w:val="18"/>
          <w:szCs w:val="18"/>
          <w:color w:val="auto"/>
        </w:rPr>
        <w:t>This Agreement may be terminated at any time prior to the Effective Time, whether before or after approval of the Exchange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shareholders of the Company and Parent, unless specified below:</w:t>
      </w:r>
    </w:p>
    <w:p>
      <w:pPr>
        <w:spacing w:after="0" w:line="159"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Parent duly authorized by the Boards of Directors of the Company and Parent;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all the conditions to the obligations of such Party for Closing the Exchange shall not have been satisfied or waived on or before the Final Date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breach of any representation, warranty, covenant or agreement set forth in this Agreement has been the cause of, or resulted in, such failure;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shall not be available to any Party whose breach of any representation, warranty, covenant or agreement set forth in this Agreement has been the cause of, or resulted in, the issuance, entry, or enactment of any such Law or Order;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left="660" w:firstLine="644"/>
        <w:spacing w:after="0" w:line="266" w:lineRule="auto"/>
        <w:tabs>
          <w:tab w:leader="none" w:pos="15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Required Company Shareholder Vote shall not have been obtained within two (2) Business Days of the Registration Statement becoming effective in accordance with the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once the Required Company Shareholder Vote has been obtained, Parent may not terminate this Agreement pursuant to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color w:val="auto"/>
        </w:rPr>
        <w:t>Final Date</w:t>
      </w:r>
      <w:r>
        <w:rPr>
          <w:rFonts w:ascii="Times New Roman" w:cs="Times New Roman" w:eastAsia="Times New Roman" w:hAnsi="Times New Roman"/>
          <w:sz w:val="18"/>
          <w:szCs w:val="18"/>
          <w:color w:val="auto"/>
        </w:rPr>
        <w:t>” shall be December 31, 2026.</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8.2 Notice of Termination</w:t>
      </w:r>
      <w:r>
        <w:rPr>
          <w:rFonts w:ascii="Times New Roman" w:cs="Times New Roman" w:eastAsia="Times New Roman" w:hAnsi="Times New Roman"/>
          <w:sz w:val="18"/>
          <w:szCs w:val="18"/>
          <w:color w:val="auto"/>
        </w:rPr>
        <w:t>. Any termination of this Agreement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will be effective immediately upon the delivery of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the terminating Party to the other Party hereto specifying with reasonable particularity the reason for such termination.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8.3 Effect of Termination</w:t>
      </w:r>
      <w:r>
        <w:rPr>
          <w:rFonts w:ascii="Times New Roman" w:cs="Times New Roman" w:eastAsia="Times New Roman" w:hAnsi="Times New Roman"/>
          <w:sz w:val="18"/>
          <w:szCs w:val="18"/>
          <w:color w:val="auto"/>
        </w:rPr>
        <w:t>. In the case of any termination of this Agreement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this Agreement shall be of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force and effect, with no liability on the part of any Party to this Agreement (or any stockholder, director, officer, employee, agent or representative of such Party) to any other Party hereto, except (i) with respect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 OF REPRESENTATIONS, WARRANTIES AND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None of the representations and warranties contained in this Agreement or in any instrument delivered under this Agreement will survive the Effective Time.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does not limit any covenant of the parties to this Agreement which, by its terms, contemplates performance after the Effective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10.1 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Parent: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Level 10, Tower 11, Avenue 5, No. 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Jalan Kerinchi, Kuala Lumpur, Malaysia 59200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Datuk Dr. Doris Wong Sing Ee, Chief Executive Officer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Rimon, P.C.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423 Washington Street, Suite 600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 U.S.A.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Mark Lee; Debbie Klis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 (418) 683-5472 or (202) 935-3390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mark.c.lee@rimonlaw.com</w:t>
      </w:r>
      <w:r>
        <w:rPr>
          <w:rFonts w:ascii="Times New Roman" w:cs="Times New Roman" w:eastAsia="Times New Roman" w:hAnsi="Times New Roman"/>
          <w:sz w:val="18"/>
          <w:szCs w:val="18"/>
          <w:color w:val="auto"/>
        </w:rPr>
        <w:t>; debbie.klis@rimonlaw.com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 or the Selling Shareholders: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Future NRG Sdn. Bhd.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Lot PT 6127, 3A/1,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Jalan Tech Valley, Bandar Sri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Sendayan, Seremban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Negeri Sembilan, Malaysia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Pun Kah Weng, Director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Messrs Rohamat &amp; Ling</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1009, Level 10, Menara PJ,</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Pusat Perdagangan Amcorp,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 18, Jalan Persiaran Barat,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46050, Petaling Jaya, Selangor, Malaysia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Mark Wong &amp; Bernard Tee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 +603-79325115/ +603- 7932 5050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corporate@r-ling.com</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10.2 Amendment</w:t>
      </w:r>
      <w:r>
        <w:rPr>
          <w:rFonts w:ascii="Times New Roman" w:cs="Times New Roman" w:eastAsia="Times New Roman" w:hAnsi="Times New Roman"/>
          <w:sz w:val="18"/>
          <w:szCs w:val="18"/>
          <w:color w:val="auto"/>
        </w:rPr>
        <w:t>. This Agreement may be amended with the approval of the respective boards of directors of the Company and Parent,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Selling Shareholders at any time (whether before or after the adoption and approval of this Agreement by the Selling Shareholders or before or after obtaining the Parent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10.3 Waiver</w:t>
      </w:r>
      <w:r>
        <w:rPr>
          <w:rFonts w:ascii="Times New Roman" w:cs="Times New Roman" w:eastAsia="Times New Roman" w:hAnsi="Times New Roman"/>
          <w:sz w:val="18"/>
          <w:szCs w:val="18"/>
          <w:color w:val="auto"/>
        </w:rPr>
        <w:t>. Any provision hereof may be waived by the waiving Party solely on such Party’s own behalf, without the consent of any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10.4 Failure or Indulgence Not Waiver; Remedies Cumulative</w:t>
      </w:r>
      <w:r>
        <w:rPr>
          <w:rFonts w:ascii="Times New Roman" w:cs="Times New Roman" w:eastAsia="Times New Roman" w:hAnsi="Times New Roman"/>
          <w:sz w:val="18"/>
          <w:szCs w:val="18"/>
          <w:color w:val="auto"/>
        </w:rPr>
        <w:t>. No failure or delay on the part of any Party hereto in the exercise of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10.6 Severability. </w:t>
      </w:r>
      <w:r>
        <w:rPr>
          <w:rFonts w:ascii="Times New Roman" w:cs="Times New Roman" w:eastAsia="Times New Roman" w:hAnsi="Times New Roman"/>
          <w:sz w:val="18"/>
          <w:szCs w:val="18"/>
          <w:color w:val="auto"/>
        </w:rPr>
        <w:t>Any term or provision of this Agreement that is invalid or unenforceable in any situation in any jurisdiction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10.7 Entire Agreement</w:t>
      </w:r>
      <w:r>
        <w:rPr>
          <w:rFonts w:ascii="Times New Roman" w:cs="Times New Roman" w:eastAsia="Times New Roman" w:hAnsi="Times New Roman"/>
          <w:sz w:val="18"/>
          <w:szCs w:val="18"/>
          <w:color w:val="auto"/>
        </w:rPr>
        <w:t>. This Agreement (including the Company Disclosure Schedule and the Parent Disclosure Schedule together with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10.8 Assignment</w:t>
      </w:r>
      <w:r>
        <w:rPr>
          <w:rFonts w:ascii="Times New Roman" w:cs="Times New Roman" w:eastAsia="Times New Roman" w:hAnsi="Times New Roman"/>
          <w:sz w:val="18"/>
          <w:szCs w:val="18"/>
          <w:color w:val="auto"/>
        </w:rPr>
        <w:t>. This Agreement shall be binding upon, and shall be enforceable by and inure solely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10.9 Parties In Interest. </w:t>
      </w:r>
      <w:r>
        <w:rPr>
          <w:rFonts w:ascii="Times New Roman" w:cs="Times New Roman" w:eastAsia="Times New Roman" w:hAnsi="Times New Roman"/>
          <w:sz w:val="18"/>
          <w:szCs w:val="18"/>
          <w:color w:val="auto"/>
        </w:rPr>
        <w:t>This Agreement shall be binding upon and inure solely to the benefit of each Party hereto and their permitted assigns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10.10 Governing Law</w:t>
      </w:r>
      <w:r>
        <w:rPr>
          <w:rFonts w:ascii="Times New Roman" w:cs="Times New Roman" w:eastAsia="Times New Roman" w:hAnsi="Times New Roman"/>
          <w:sz w:val="18"/>
          <w:szCs w:val="18"/>
          <w:color w:val="auto"/>
        </w:rPr>
        <w:t>. This Agreement will be governed by, and construed and enforced in accordance with the Laws of the State of Delaware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OR IN SUCH OTHER MANNER AS MAY BE PERMITTED BY LAW, SHALL BE VALID AND SUFFICIENT SERVICE THEREOF.</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10.12 Counterparts</w:t>
      </w:r>
      <w:r>
        <w:rPr>
          <w:rFonts w:ascii="Times New Roman" w:cs="Times New Roman" w:eastAsia="Times New Roman" w:hAnsi="Times New Roman"/>
          <w:sz w:val="18"/>
          <w:szCs w:val="18"/>
          <w:color w:val="auto"/>
        </w:rPr>
        <w:t>. This Agreement may be executed in two or more counterparts, any one of which need not contain the signatures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10.13 Attorneys’ Fees</w:t>
      </w:r>
      <w:r>
        <w:rPr>
          <w:rFonts w:ascii="Times New Roman" w:cs="Times New Roman" w:eastAsia="Times New Roman" w:hAnsi="Times New Roman"/>
          <w:sz w:val="18"/>
          <w:szCs w:val="18"/>
          <w:color w:val="auto"/>
        </w:rPr>
        <w:t>. If any action or proceeding relating to this Agreement, or the enforcement of any provision of this Agreement is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Party hereto against any Party hereto, the prevailing Party shall be entitled to recover reasonable attorneys’ fees, costs and disbursements (in addition to any other relief to which the prevailing Party may be entitled).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10.14 Representation</w:t>
      </w:r>
      <w:r>
        <w:rPr>
          <w:rFonts w:ascii="Times New Roman" w:cs="Times New Roman" w:eastAsia="Times New Roman" w:hAnsi="Times New Roman"/>
          <w:sz w:val="18"/>
          <w:szCs w:val="18"/>
          <w:color w:val="auto"/>
        </w:rPr>
        <w:t>. The Parties to this Agreement, and each of them, acknowledge, agree, and represent that it: (a) has been represented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10.15 Drafting</w:t>
      </w:r>
      <w:r>
        <w:rPr>
          <w:rFonts w:ascii="Times New Roman" w:cs="Times New Roman" w:eastAsia="Times New Roman" w:hAnsi="Times New Roman"/>
          <w:sz w:val="18"/>
          <w:szCs w:val="18"/>
          <w:color w:val="auto"/>
        </w:rPr>
        <w:t>. The Parties to this Agreement acknowledge that each of them have participated in the drafting and negotiation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10.16 Interpretation</w:t>
      </w:r>
      <w:r>
        <w:rPr>
          <w:rFonts w:ascii="Times New Roman" w:cs="Times New Roman" w:eastAsia="Times New Roman" w:hAnsi="Times New Roman"/>
          <w:sz w:val="18"/>
          <w:szCs w:val="18"/>
          <w:color w:val="auto"/>
        </w:rPr>
        <w:t>. For purposes of this Agreement, references to the masculine gender shall include feminine and neuter genders and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Exchange Agreement to be executed as of the date first written above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BIO GREEN MED SOLUTION, INC.</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FUTURE NRG SDN. BHD.</w:t>
      </w:r>
      <w:r>
        <w:rPr>
          <w:rFonts w:ascii="Times New Roman" w:cs="Times New Roman" w:eastAsia="Times New Roman" w:hAnsi="Times New Roman"/>
          <w:sz w:val="18"/>
          <w:szCs w:val="18"/>
          <w:color w:val="auto"/>
        </w:rPr>
        <w:t>, a Malaysia private limited 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Pun Kah Weng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COUNTERPART SIGNATURE PAGE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shareholders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held by Selling Shareholder: 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as used in the Agreement, have the following meanings: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Company Interim Financial Statements</w:t>
      </w:r>
      <w:r>
        <w:rPr>
          <w:rFonts w:ascii="Times New Roman" w:cs="Times New Roman" w:eastAsia="Times New Roman" w:hAnsi="Times New Roman"/>
          <w:sz w:val="18"/>
          <w:szCs w:val="18"/>
          <w:color w:val="auto"/>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(s)” shall have the meaning set forth in Rule 12b-2 of the regulations promulgated under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Consideration Value</w:t>
      </w:r>
      <w:r>
        <w:rPr>
          <w:rFonts w:ascii="Times New Roman" w:cs="Times New Roman" w:eastAsia="Times New Roman" w:hAnsi="Times New Roman"/>
          <w:sz w:val="18"/>
          <w:szCs w:val="18"/>
          <w:color w:val="auto"/>
        </w:rPr>
        <w:t>” means $2,000,000,000.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BGMS</w:t>
      </w:r>
      <w:r>
        <w:rPr>
          <w:rFonts w:ascii="Times New Roman" w:cs="Times New Roman" w:eastAsia="Times New Roman" w:hAnsi="Times New Roman"/>
          <w:sz w:val="18"/>
          <w:szCs w:val="18"/>
          <w:color w:val="auto"/>
        </w:rPr>
        <w:t>” means the Nasdaq symbol where Shares of common stock of Parent, par value $0.001, are shown.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in the State of New York are authorized or obligated to close.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 set forth in the Preamble.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Audited Financial Statements</w:t>
      </w:r>
      <w:r>
        <w:rPr>
          <w:rFonts w:ascii="Times New Roman" w:cs="Times New Roman" w:eastAsia="Times New Roman" w:hAnsi="Times New Roman"/>
          <w:sz w:val="18"/>
          <w:szCs w:val="18"/>
          <w:color w:val="auto"/>
        </w:rPr>
        <w:t>” means audited financial statements for each of its fiscal years required to be included in the Registration Statement, together with the auditor’s report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shall have the meaning as set forth in the opening paragraph of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Interim Financial Statements</w:t>
      </w:r>
      <w:r>
        <w:rPr>
          <w:rFonts w:ascii="Times New Roman" w:cs="Times New Roman" w:eastAsia="Times New Roman" w:hAnsi="Times New Roman"/>
          <w:sz w:val="18"/>
          <w:szCs w:val="18"/>
          <w:color w:val="auto"/>
        </w:rPr>
        <w:t>” means the Company Q1 2026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ordinary shares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Company-Owned IP</w:t>
      </w:r>
      <w:r>
        <w:rPr>
          <w:rFonts w:ascii="Times New Roman" w:cs="Times New Roman" w:eastAsia="Times New Roman" w:hAnsi="Times New Roman"/>
          <w:sz w:val="18"/>
          <w:szCs w:val="18"/>
          <w:color w:val="auto"/>
        </w:rPr>
        <w:t>” means all Intellectual Property owned or purported to be owned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Q1 2026 Interim Financial Statements</w:t>
      </w:r>
      <w:r>
        <w:rPr>
          <w:rFonts w:ascii="Times New Roman" w:cs="Times New Roman" w:eastAsia="Times New Roman" w:hAnsi="Times New Roman"/>
          <w:sz w:val="18"/>
          <w:szCs w:val="18"/>
          <w:color w:val="auto"/>
        </w:rPr>
        <w:t>” unaudited interim financial statements for the interim period completed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S-4 Information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6.8(a).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applicable Laws relating to data privacy, data protection, cybersecurity, and the collection, storage, use, disclosure, and transfer of Personal Data.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have the meaning as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 Documents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Shares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Financing</w:t>
      </w:r>
      <w:r>
        <w:rPr>
          <w:rFonts w:ascii="Times New Roman" w:cs="Times New Roman" w:eastAsia="Times New Roman" w:hAnsi="Times New Roman"/>
          <w:sz w:val="18"/>
          <w:szCs w:val="18"/>
          <w:color w:val="auto"/>
        </w:rPr>
        <w:t>” means a potential equity financing between the Closing Date and twenty four months thereafter, undertaken by Parent for up to $50,000,000, at a price range and for use of proceeds to be determined prior to filing the Form S-4.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 in effect as of the date hereof.</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constitution, memorandum and articles of association or similar organizational documents, in each case,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 or any agency, bureau, board, directorate, commission, court, department, official, political subdivision, tribunal, or other instrumentality of any government, whether federal, state or local, domestic or foreign.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of the officers of a party, and knowledge that a reasonable person in such capacity should have after due inquiry.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code, law, ordinance, regulation, reporting or licensing requirement, rule, or statute applicable to a Person or its Assets, liabilities or business, including those promulgated, interpreted or enforced by any Regulatory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to such asset.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Malaysia Form of Transfer</w:t>
      </w:r>
      <w:r>
        <w:rPr>
          <w:rFonts w:ascii="Times New Roman" w:cs="Times New Roman" w:eastAsia="Times New Roman" w:hAnsi="Times New Roman"/>
          <w:sz w:val="18"/>
          <w:szCs w:val="18"/>
          <w:color w:val="auto"/>
        </w:rPr>
        <w:t xml:space="preserve">” means a form for the transfer of securities pursuant to Form Section 105 of the Malaysian Companies Act,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Malaysian Companies Act</w:t>
      </w:r>
      <w:r>
        <w:rPr>
          <w:rFonts w:ascii="Times New Roman" w:cs="Times New Roman" w:eastAsia="Times New Roman" w:hAnsi="Times New Roman"/>
          <w:sz w:val="18"/>
          <w:szCs w:val="18"/>
          <w:color w:val="auto"/>
        </w:rPr>
        <w:t>” means the Laws of Malaysia, Act 125, Companies Act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Materially</w:t>
      </w:r>
      <w:r>
        <w:rPr>
          <w:rFonts w:ascii="Times New Roman" w:cs="Times New Roman" w:eastAsia="Times New Roman" w:hAnsi="Times New Roman"/>
          <w:sz w:val="18"/>
          <w:szCs w:val="18"/>
          <w:color w:val="auto"/>
        </w:rPr>
        <w:t>” for purposes of this Agreement shall be determined in light of the facts and circumstances of the matter in question; provided that any specific monetary amount stated in this Agreement shall determine materiality in that instance.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 Default</w:t>
      </w:r>
      <w:r>
        <w:rPr>
          <w:rFonts w:ascii="Times New Roman" w:cs="Times New Roman" w:eastAsia="Times New Roman" w:hAnsi="Times New Roman"/>
          <w:sz w:val="18"/>
          <w:szCs w:val="18"/>
          <w:color w:val="auto"/>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w:t>
      </w:r>
      <w:r>
        <w:rPr>
          <w:rFonts w:ascii="Times New Roman" w:cs="Times New Roman" w:eastAsia="Times New Roman" w:hAnsi="Times New Roman"/>
          <w:sz w:val="18"/>
          <w:szCs w:val="18"/>
          <w:color w:val="auto"/>
        </w:rPr>
        <w:t>” shall have the meaning as set forth in Section 2.12(b)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Medical Waste Permits</w:t>
      </w:r>
      <w:r>
        <w:rPr>
          <w:rFonts w:ascii="Times New Roman" w:cs="Times New Roman" w:eastAsia="Times New Roman" w:hAnsi="Times New Roman"/>
          <w:sz w:val="18"/>
          <w:szCs w:val="18"/>
          <w:color w:val="auto"/>
        </w:rPr>
        <w:t>” shall have the meaning as set forth in Section 2.12(b)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Reverse Split</w:t>
      </w:r>
      <w:r>
        <w:rPr>
          <w:rFonts w:ascii="Times New Roman" w:cs="Times New Roman" w:eastAsia="Times New Roman" w:hAnsi="Times New Roman"/>
          <w:sz w:val="18"/>
          <w:szCs w:val="18"/>
          <w:color w:val="auto"/>
        </w:rPr>
        <w:t>” means a reverse stock split of all outstanding shares of Parent Common Stock effected by Parent for the purpose of maintaining compliance with Nasdaq listing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also known as the Office of Foreign Assets Control of the U.S. Treasury Department.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administrative decision or award, decree, injunction, judgment, order, quasi-judicial decision or award, ruling, or writ of any federal, state, local or foreign or other court, arbitrator, mediator, tribunal, administrative agency or Regulatory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as set forth in the Preamble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Accounts Receivable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Alternative Acquisition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Exchange Approval Matter</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Exchange Vote</w:t>
      </w:r>
      <w:r>
        <w:rPr>
          <w:rFonts w:ascii="Times New Roman" w:cs="Times New Roman" w:eastAsia="Times New Roman" w:hAnsi="Times New Roman"/>
          <w:sz w:val="18"/>
          <w:szCs w:val="18"/>
          <w:color w:val="auto"/>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Matters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Vote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the Company, the Selling Shareholders and 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an association, a trust, a limited liability company or any other entity or organization, including a government or political subdivision or any agency or instrumentality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relating to an identified or identifiable natural person that is protected under applicable Data Protection Laws.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statement relating to the Parent Stockholder Meeting to be held in connection with the Exchange (together with any amendments thereof or supplements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Proxy Statement and the Form S-4, collectively.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Company Shareholder Vote</w:t>
      </w:r>
      <w:r>
        <w:rPr>
          <w:rFonts w:ascii="Times New Roman" w:cs="Times New Roman" w:eastAsia="Times New Roman" w:hAnsi="Times New Roman"/>
          <w:sz w:val="18"/>
          <w:szCs w:val="18"/>
          <w:color w:val="auto"/>
        </w:rPr>
        <w:t>” means the affirmative unanimous vote (or written consent) of the Selling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is open for trading.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Consideration Shares</w:t>
      </w:r>
      <w:r>
        <w:rPr>
          <w:rFonts w:ascii="Times New Roman" w:cs="Times New Roman" w:eastAsia="Times New Roman" w:hAnsi="Times New Roman"/>
          <w:sz w:val="18"/>
          <w:szCs w:val="18"/>
          <w:color w:val="auto"/>
        </w:rPr>
        <w:t xml:space="preserve">” means that number of shares of Parent Common Stock equal to the quotient of Aggregate Transaction Consideration Value divided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thirty (30) day VWAP immediately prior to the Closing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Agreement and any other document executed and delivered pursuant hereto, together with any exhibits or schedules to such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Equiniti Trust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tbl>
      <w:tblPr>
        <w:tblLayout w:type="fixed"/>
        <w:tblInd w:w="6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648"/>
        </w:trPr>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80" w:type="dxa"/>
            <w:vAlign w:val="bottom"/>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EXHIBIT F</w:t>
            </w:r>
          </w:p>
        </w:tc>
      </w:tr>
      <w:tr>
        <w:trPr>
          <w:trHeight w:val="391"/>
        </w:trPr>
        <w:tc>
          <w:tcPr>
            <w:tcW w:w="440" w:type="dxa"/>
            <w:vAlign w:val="bottom"/>
          </w:tcPr>
          <w:p>
            <w:pPr>
              <w:spacing w:after="0"/>
              <w:rPr>
                <w:sz w:val="24"/>
                <w:szCs w:val="24"/>
                <w:color w:val="auto"/>
              </w:rPr>
            </w:pPr>
          </w:p>
        </w:tc>
        <w:tc>
          <w:tcPr>
            <w:tcW w:w="10140" w:type="dxa"/>
            <w:vAlign w:val="bottom"/>
            <w:gridSpan w:val="3"/>
          </w:tcPr>
          <w:p>
            <w:pPr>
              <w:ind w:left="3060"/>
              <w:spacing w:after="0"/>
              <w:rPr>
                <w:sz w:val="20"/>
                <w:szCs w:val="20"/>
                <w:color w:val="auto"/>
              </w:rPr>
            </w:pPr>
            <w:r>
              <w:rPr>
                <w:rFonts w:ascii="Times New Roman" w:cs="Times New Roman" w:eastAsia="Times New Roman" w:hAnsi="Times New Roman"/>
                <w:sz w:val="18"/>
                <w:szCs w:val="18"/>
                <w:b w:val="1"/>
                <w:bCs w:val="1"/>
                <w:color w:val="auto"/>
              </w:rPr>
              <w:t>FORM OF LOCK-UP AGREEMENT</w:t>
            </w:r>
          </w:p>
        </w:tc>
      </w:tr>
      <w:tr>
        <w:trPr>
          <w:trHeight w:val="453"/>
        </w:trPr>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 2026</w:t>
            </w:r>
          </w:p>
        </w:tc>
      </w:tr>
      <w:tr>
        <w:trPr>
          <w:trHeight w:val="41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Business Combination Agreement, dated as of June 4,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Bio Green Med Solution, Inc.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Future</w:t>
            </w:r>
          </w:p>
        </w:tc>
      </w:tr>
      <w:tr>
        <w:trPr>
          <w:trHeight w:val="216"/>
        </w:trPr>
        <w:tc>
          <w:tcPr>
            <w:tcW w:w="440" w:type="dxa"/>
            <w:vAlign w:val="bottom"/>
          </w:tcPr>
          <w:p>
            <w:pPr>
              <w:spacing w:after="0"/>
              <w:rPr>
                <w:sz w:val="18"/>
                <w:szCs w:val="18"/>
                <w:color w:val="auto"/>
              </w:rPr>
            </w:pP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NRG Sdn. Bhd.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Selling Shareholders signatory thereto (each, a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and, collectively, the</w:t>
            </w:r>
          </w:p>
        </w:tc>
      </w:tr>
      <w:tr>
        <w:trPr>
          <w:trHeight w:val="238"/>
        </w:trPr>
        <w:tc>
          <w:tcPr>
            <w:tcW w:w="440" w:type="dxa"/>
            <w:vAlign w:val="bottom"/>
          </w:tcPr>
          <w:p>
            <w:pPr>
              <w:spacing w:after="0"/>
              <w:rPr>
                <w:sz w:val="20"/>
                <w:szCs w:val="20"/>
                <w:color w:val="auto"/>
              </w:rPr>
            </w:pP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Defined terms not otherwise defined in this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xml:space="preserve">”) shall have the meanings set forth in the Agreement. Pursuant to </w:t>
      </w:r>
      <w:r>
        <w:rPr>
          <w:rFonts w:ascii="Times New Roman" w:cs="Times New Roman" w:eastAsia="Times New Roman" w:hAnsi="Times New Roman"/>
          <w:sz w:val="18"/>
          <w:szCs w:val="18"/>
          <w:u w:val="single" w:color="auto"/>
          <w:color w:val="auto"/>
        </w:rPr>
        <w:t>Section 7.2(i)</w:t>
      </w:r>
      <w:r>
        <w:rPr>
          <w:rFonts w:ascii="Times New Roman" w:cs="Times New Roman" w:eastAsia="Times New Roman" w:hAnsi="Times New Roman"/>
          <w:sz w:val="18"/>
          <w:szCs w:val="18"/>
          <w:color w:val="auto"/>
        </w:rPr>
        <w:t xml:space="preserve"> of the Agreement and in satisfaction of a condition of the Company’s obligations under the Agreement, the undersigned irrevocably agrees with Parent that, from the date hereof until one hundred eighty (180) days after the Effective Time (such period, the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any shares of Common Stock of Parent or securities convertible, exchangeable or exercisable into, shares of Common Stock of Parent beneficially owned, held or hereafter acquired by the undersigned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Parent shall provide written notice to the transfer agent of Parent to inform them of the Restriction Period, which written notice shall include notification by email. In order to enforce this covenant, Parent shall impose irrevocable stop-transfer instructions preventing the transfer agent of Parent from effecting any actions in violation of this Letter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Securities provided that (1) Parent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spacing w:after="0" w:line="18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business entity all of the equity holders of which consist of the undersigned and/or the immediate family of the undersigned;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beneficiary of such trust;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the delivery of shares of Common Stock to the undersigned upon (i) exercise any options granted under any employee benefit plan of Parent;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Parent to complete the transactions contemplated by the Agreement and Parent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Parent and the undersigned. This Letter Agreement shall be construed and enforced in accordance with the laws of the State of Delaware without regard to the principles of conflict of laws. The undersigned hereby irrevocably submits to the exclusive jurisdiction of the federal and state courts in the State of Delaware,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Selling Shareholders and that no Selling Shareholder is entitled to cast any votes on the matters herein contemplated and that no issuance or sale of the Securities is created or intended by virtue of this Letter Agreement.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Parent. This Letter Agreement is intended for the benefit of the parties hereto and their respective successors and permitted assigns and is not for the benefit of, nor may any provision hereof be enforced by, any other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all of which when taken together may be considered one and the same agreement.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signing below, Parent agrees to enforce the restrictions on transfer set forth in this Letter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 GREEN MED SOLUTION,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156845</wp:posOffset>
            </wp:positionV>
            <wp:extent cx="1628775" cy="462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8775" cy="4629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156845</wp:posOffset>
            </wp:positionV>
            <wp:extent cx="1534160" cy="557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34160" cy="55753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885825</wp:posOffset>
            </wp:positionV>
            <wp:extent cx="572643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264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BIO GREEN MED SOLUTION, INC. ANNOUNCES BUSINESS COMBINATION AGREEMENT TO ACQUIRE FUTURE NRG SDN. BHD.</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a next-generation environmental platform: </w:t>
      </w:r>
      <w:r>
        <w:rPr>
          <w:rFonts w:ascii="Times New Roman" w:cs="Times New Roman" w:eastAsia="Times New Roman" w:hAnsi="Times New Roman"/>
          <w:sz w:val="18"/>
          <w:szCs w:val="18"/>
          <w:color w:val="auto"/>
        </w:rPr>
        <w:t>The proposed transaction brings together essential safety and environmental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strategic focus on regulatory-driven industries where compliance, technical expertise, and reliability are paramount, into a single, globally scalable platform.</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fuels, infrastructure, and environmental markets: </w:t>
      </w:r>
      <w:r>
        <w:rPr>
          <w:rFonts w:ascii="Times New Roman" w:cs="Times New Roman" w:eastAsia="Times New Roman" w:hAnsi="Times New Roman"/>
          <w:sz w:val="18"/>
          <w:szCs w:val="18"/>
          <w:color w:val="auto"/>
        </w:rPr>
        <w:t>The combined company is expected to link niche sectors of the fire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green waste treatment businesses that involve mandatory compliance frameworks that drive consistent demand for these products and services, providing a resilient and diversified revenue base.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Supports overlap in end-customer markets. </w:t>
      </w:r>
      <w:r>
        <w:rPr>
          <w:rFonts w:ascii="Times New Roman" w:cs="Times New Roman" w:eastAsia="Times New Roman" w:hAnsi="Times New Roman"/>
          <w:sz w:val="18"/>
          <w:szCs w:val="18"/>
          <w:color w:val="auto"/>
        </w:rPr>
        <w:t>Future NRG Sdn. Bhd. serves thousands of healthcare waste generators and Fitters Sdn. Bhd.,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Bio Green Med Solution, Inc., delivers certified safety solutions, including fire extinguishers, foam systems, fire-resistant doors, PPE and fire safety apparel, that enhance protection across commercial, industrial, healthcare, and residential sectors. Their integration would allow the combined entity to offer a bundled compliance solution with clinical waste disposal and fire safety equipment through a single relationship, potentially increasing customer retention and per-account revenue.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KUALA LUMPUR, MALAYSIA, June 4, 2026 </w:t>
      </w:r>
      <w:r>
        <w:rPr>
          <w:rFonts w:ascii="Times New Roman" w:cs="Times New Roman" w:eastAsia="Times New Roman" w:hAnsi="Times New Roman"/>
          <w:sz w:val="18"/>
          <w:szCs w:val="18"/>
          <w:color w:val="auto"/>
        </w:rPr>
        <w:t>- Bio Green Med Solution, Inc. (NASDAQ: BGMS; the “Company”) today announced that it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Business Combination Agreement (“BCA”) with Future NRG Sdn. Bhd. (“Future NRG”) in an all stock share exchange transaction. Future NRG is a Malaysia-based technology integrator and project developer operating at the forefront of innovative and sustainable medical waste management, for healthcare waste generators including clinics, dental practices, veterinary clinics, dialysis centers, laboratories, and factories, offering advanced waste-to-energy and waste-to-resource projects using advanced, market-proven clean technology. Upon completion of the share exchange, which is subject to approval by BGMS and Future NRG’s shareholders, the combined company is expected to continue operating under the name Bio Green Med Solution, Inc. and continue trading on the Nasdaq Capital Market under the ticker symbol “BGMS”.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BCA, the parties intend to effect a share exchange between BGMS and the Future NRG selling shareholders, in which Future NRG will become a wholly-owned subsidiary of BGMS, in accordance with the terms of the BCA and the rules under Delaware General Corporation Law (the “DGCL”) and the Malaysian Companies Act (the “Transaction”). As part of the Transaction, the BGMS common stock, par value $0.001 (the “BGMS Stock”) transferred to the Future NRG selling shareholders, in exchange for the ordinary shares of Future NRG shall constitute one hundred (100%) percent of the issued and outstanding capital shares of Future NRG. The percentage of the combined company that pre-Transaction BGMS shareholders and pre-Transaction Future NRG shareholders will own as of the close of the proposed Transaction is subject to an exchange ratio, as described in the BCA. The combined company will continue to be led by Datuk Dr. Doris Wong, current CEO and Executive Director of BGMS, together with other members of the current BGMS management team. The combined company’s Board of Directors will be comprised of the current board members of BGMS except that Mr. Conner Kiu plans to step down as a director but will continue to serve at BGMS as its CFO, and Mr. Pun Kah Weng as selected by Future NRG will be appointed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“Future NRG is driven by a core conviction focused on advancing eco-friendly alternatives to traditional, high-emission industrial practices,” said Ngu Wang Keat, Director of FNRG. “Our use of advanced American ozone technology to process clinical waste platform provides a 99.9999% reduction in microbial populations while eliminating the carbon emissions associated with traditional incineration. Access to the public markets through this combination with Bio Green Med Solution, Inc. gives us the capital and the profile to accelerate that strategy at scale.”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Datuk Dr. Doris Wong Sing Ee, Chief Executive Officer and Executive Director of BGMS added, “Future NRG’s management team has built a differentiated model with a demonstrated green solution for scheduled waste treatment with proven economics in a large and underserved market. We are confident this combination will deliver long-term value for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fourth quarter of 2026 subject to shareholder approval of both companies, the effectiveness of a registration statement to be filed with the U.S. Securities and Exchange Commission to register the securities to be issued in connection with the Transaction, and the satisfaction of customary closing conditions. The BCA has been unanimously approved by the boards of both BGMS and Future NRG.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Future NRG Sdn. Bhd.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NRG is a Malaysia-based private limited company specializing in renewable energy development through its green solution of scheduled waste treatment (specifically, SW 404 which are pathogenic wastes, clinical wastes or quarantined material) to private medical practitioners throughout Peninsular Malaysia. Future NRG currently owns and operates a medical waste plant, the Sendayan Ozone Medical Waste Treatment Plant in Sendayan Tech Valley, Negeri Sembilan, Malaysia (the “Plant”), with a capacity of 10 metric tons per day.</w:t>
      </w:r>
    </w:p>
    <w:p>
      <w:pPr>
        <w:spacing w:after="0" w:line="139"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The Plant is a specialized facility designed to disinfect and treat biomedical waste using ozone gas (O</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 xml:space="preserve">)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 For additional information, please visit </w:t>
      </w:r>
      <w:r>
        <w:rPr>
          <w:rFonts w:ascii="Times New Roman" w:cs="Times New Roman" w:eastAsia="Times New Roman" w:hAnsi="Times New Roman"/>
          <w:sz w:val="18"/>
          <w:szCs w:val="18"/>
          <w:u w:val="single" w:color="auto"/>
          <w:color w:val="auto"/>
        </w:rPr>
        <w:t>http://www.futurenrg.net/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About Bio Green Med Solution,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BGMS is a Delaware corporation listed on Nasdaq (formerly known as Cyclacel Pharmaceuticals, Inc.) and is headquartered in Kuala Lumpur, Malaysia. BGMS is a diversified enterprise whose fire safety division, anchored by its Fitters Sdn. Bhd. subsidiary, specializes in supplying, trading, and installing protective and fire safety equipment for domestic and international markets. Its product range includes fire extinguishers, foam systems, fire-resistant doors known as the Pyrodor, personal protective equipment (PPE), and fire safety apparel. For additional information, please visit </w:t>
      </w:r>
      <w:r>
        <w:rPr>
          <w:rFonts w:ascii="Times New Roman" w:cs="Times New Roman" w:eastAsia="Times New Roman" w:hAnsi="Times New Roman"/>
          <w:sz w:val="18"/>
          <w:szCs w:val="18"/>
          <w:u w:val="single" w:color="auto"/>
          <w:color w:val="auto"/>
        </w:rPr>
        <w:t>https://bgmsglobal.com/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Legal Advisors to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 Group International Limited is acting as exclusive financial advisor to BGMS with Rimon, P.C. (Washington, DC) serving as BGMS’ legal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Rohamat &amp; Ling Advocates &amp; Solicitors (Malaysia) is serving as legal counsel to Future NRG.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proposed Transaction will be provided in a Report on Form 8-K to be filed by BGMS with the U.S. Securities and Exchange Commission (“SEC”) and available at www.sec.gov.</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a registration statement on Form S-4 (the “Form S-4”) is expected to be filed by the Company with the SEC. Upon the closing of the Transaction, it is expected that the Company will be the ultimate parent of Future NRG. The Form S-4 will include a prospectus relating to the offer and sale of securities to be issued in connection with the completion of the Transaction. It will also include a preliminary proxy statement to be distributed to holders of the Company’s common stock in connection with its solicitation of proxies for the vote of its stockholders in connection matters relating to the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does not contain all the information that should be considered concerning the Transaction or any other matter and is not intended to form the basis of any investment decision or any other decision in respect of the Transaction or any other matter. The Company and Future NRG urge investors, stockholders, shareholders and other interested persons to read, when available, the Form S-4, including the prospectus and the proxy statement included therein and the amendments thereto as well as any other documents filed with the SEC in connection with the Transaction as these materials will contain important information about the Company, Future NRG and the Transaction.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After the Form S-4 has been filed and declared effective, the definitive proxy statement will be mailed to the Company’s stockholders as of the record date established for voting on the matters set forth therein. The Company and Future NRG stockholders will be able to obtain copies of such documents, without charge, once available,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request to Bio Green Med Solution, Inc. via email to: </w:t>
      </w:r>
      <w:r>
        <w:rPr>
          <w:rFonts w:ascii="Times New Roman" w:cs="Times New Roman" w:eastAsia="Times New Roman" w:hAnsi="Times New Roman"/>
          <w:sz w:val="18"/>
          <w:szCs w:val="18"/>
          <w:u w:val="single" w:color="auto"/>
          <w:color w:val="auto"/>
        </w:rPr>
        <w:t>ir@BGMS.com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ACCURACY OR ADEQUACY OF THE INFORMATION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The Company, Future NRG, and their respective directors, executive officers and other members of their management and employees, may, under SEC rules, be deemed to be participants in the solicitation of proxies of the Company’s stockholders in connection with the Transaction. Investors and securityholders may obtain more detailed information regarding the names, affiliations and interests of the Company’s directors and executive officers in the Company’s Annual Report on Form 10-K filed with the SEC on March 30, 2026, and other reports filed with the SEC. Additional information regarding the participants will also be included in the Form S-4, when it becomes available. When available, these documents can be obtained free of charge from the sources indicated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offer or offering of equity interests or securities of any kind is being made, conducted or extended at this time. This communication is for informational purposes only and does not constitute or include an offer to sell, or a solicitation of an offer to purchase or subscribe for, equity interests or securities of any kind or a solicitation of any vote of approval, nor shall there be any sale, issuance or transfer of any such securities in any state or jurisdiction in which such offer, solicitation or sale would be unlawful prior to registration or qualification under the securities laws of such jurisdiction. Any such offer or solicitation will be made only in connection with the delivery of a prospectus meeting the requirements of the Securities Act of 1933, as amended, or exemptions therefrom.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info@bgmsglobal.com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the consummation of the Transaction.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(i) changes in domestic and foreign business, market, financial, political and legal conditions; (ii) the inability of the Company and Future NRG to consummate the proposed Transaction successfully or timely, including the risk that any required approvals are not obtained, are delayed or are subject to unanticipated conditions that could adversely affect the combined company or the expected benefits of the proposed Transaction or that the approval of the equityholders of the Company and Future NRG is not obtained;</w:t>
      </w:r>
    </w:p>
    <w:p>
      <w:pPr>
        <w:spacing w:after="0" w:line="3" w:lineRule="exact"/>
        <w:rPr>
          <w:sz w:val="20"/>
          <w:szCs w:val="20"/>
          <w:color w:val="auto"/>
        </w:rPr>
      </w:pPr>
    </w:p>
    <w:p>
      <w:pPr>
        <w:jc w:val="both"/>
        <w:ind w:firstLine="8"/>
        <w:spacing w:after="0" w:line="251" w:lineRule="auto"/>
        <w:tabs>
          <w:tab w:leader="none" w:pos="3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proposed Transaction; (iv) the ability of the combined company to grow and manage its growth effectively; (v) the ability of each of the Company and Future NRG to execute their respective business plan; (vi) estimates of the size of the markets for the combined company’s respective products and services; (vii) the rate and degree of market acceptance of the combined company’s products and services outside of its existing markets; (viii) the Company’s ability to identify and integrate acquisitions; (ix) future investments in technology and operations; (x) potential litigation involving the Company or Future NRG; (xi) risks relating to the uncertainty of the projected financial information with respect to Future NRG; (xii) the effects of competition on Future NRG’s business; (xiii) developments and changes in laws and regulations; (xiv) the impact of significant investigative, regulatory or legal proceedings; (xv) general economic and market conditions impacting demand for the combined company’s products and services; (xvi) the ability to meet Nasdaq’s listing standards prior to and following the consummation of the proposed Transaction; and (xvii) such other risks and uncertainties as are discussed in the Company’s Annual Report on Form 10-K filed with the SEC and the Form S-4 to be filed relating to the proposed Transaction.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factors include the possibility that the proposed Transaction does not close, including due to the failure to receive required securityholder approvals, or the failure of other closing conditions.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Actual results could differ from those projected in any forward-looking statements due to numerous factors. These forward-looking statements are made as of the date of this press release,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press release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 Green Med Solution,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NRG Sdn. Bhd.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2"/>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4"/>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lvl w:ilvl="1">
      <w:lvlJc w:val="left"/>
      <w:lvlText w:val="(%2)"/>
      <w:numFmt w:val="lowerLetter"/>
      <w:start w:val="3"/>
    </w:lvl>
  </w:abstractNum>
  <w:abstractNum w:abstractNumId="14">
    <w:nsid w:val="8138641"/>
    <w:multiLevelType w:val="hybridMultilevel"/>
    <w:lvl w:ilvl="0">
      <w:lvlJc w:val="left"/>
      <w:lvlText w:val="(%1)"/>
      <w:numFmt w:val="lowerLetter"/>
      <w:start w:val="1"/>
    </w:lvl>
    <w:lvl w:ilvl="1">
      <w:lvlJc w:val="left"/>
      <w:lvlText w:val="(%2)"/>
      <w:numFmt w:val="lowerLetter"/>
      <w:start w:val="6"/>
    </w:lvl>
  </w:abstractNum>
  <w:abstractNum w:abstractNumId="15">
    <w:nsid w:val="1E7FF521"/>
    <w:multiLevelType w:val="hybridMultilevel"/>
    <w:lvl w:ilvl="0">
      <w:lvlJc w:val="left"/>
      <w:lvlText w:val="(%1)"/>
      <w:numFmt w:val="lowerLetter"/>
      <w:start w:val="8"/>
    </w:lvl>
  </w:abstractNum>
  <w:abstractNum w:abstractNumId="16">
    <w:nsid w:val="7C3DBD3D"/>
    <w:multiLevelType w:val="hybridMultilevel"/>
    <w:lvl w:ilvl="0">
      <w:lvlJc w:val="left"/>
      <w:lvlText w:val="(%1)"/>
      <w:numFmt w:val="lowerRoman"/>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2"/>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8"/>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7"/>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3"/>
    </w:lvl>
  </w:abstractNum>
  <w:abstractNum w:abstractNumId="31">
    <w:nsid w:val="2463B9EA"/>
    <w:multiLevelType w:val="hybridMultilevel"/>
    <w:lvl w:ilvl="0">
      <w:lvlJc w:val="left"/>
      <w:lvlText w:val="(%1)"/>
      <w:numFmt w:val="lowerLetter"/>
      <w:start w:val="5"/>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6"/>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lowerRoman"/>
      <w:start w:val="3"/>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2026-06-04T15:50:18Z</dcterms:created>
  <dcterms:modified xsi:type="dcterms:W3CDTF">2026-06-04T15:50:18Z</dcterms:modified>
</cp:coreProperties>
</file>