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142875</wp:posOffset>
            </wp:positionV>
            <wp:extent cx="2794635" cy="908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908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 Green Med Solution,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0-50626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91-1707622</w:t>
            </w:r>
          </w:p>
        </w:tc>
      </w:tr>
      <w:tr>
        <w:trPr>
          <w:trHeight w:val="191"/>
        </w:trPr>
        <w:tc>
          <w:tcPr>
            <w:tcW w:w="3160" w:type="dxa"/>
            <w:vAlign w:val="bottom"/>
            <w:tcBorders>
              <w:top w:val="single" w:sz="8" w:color="auto"/>
            </w:tcBorders>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Level 10, Tower 11, Avenue 5,</w:t>
            </w:r>
          </w:p>
        </w:tc>
        <w:tc>
          <w:tcPr>
            <w:tcW w:w="3020" w:type="dxa"/>
            <w:vAlign w:val="bottom"/>
          </w:tcPr>
          <w:p>
            <w:pPr>
              <w:spacing w:after="0"/>
              <w:rPr>
                <w:sz w:val="24"/>
                <w:szCs w:val="24"/>
                <w:color w:val="auto"/>
              </w:rPr>
            </w:pPr>
          </w:p>
        </w:tc>
      </w:tr>
      <w:tr>
        <w:trPr>
          <w:trHeight w:val="220"/>
        </w:trPr>
        <w:tc>
          <w:tcPr>
            <w:tcW w:w="3160" w:type="dxa"/>
            <w:vAlign w:val="bottom"/>
          </w:tcPr>
          <w:p>
            <w:pPr>
              <w:spacing w:after="0"/>
              <w:rPr>
                <w:sz w:val="19"/>
                <w:szCs w:val="19"/>
                <w:color w:val="auto"/>
              </w:rPr>
            </w:pPr>
          </w:p>
        </w:tc>
        <w:tc>
          <w:tcPr>
            <w:tcW w:w="50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 8 Jalan Kerinchi, Kuala Lumpur, Malaysia 59200</w:t>
            </w:r>
          </w:p>
        </w:tc>
        <w:tc>
          <w:tcPr>
            <w:tcW w:w="3020" w:type="dxa"/>
            <w:vAlign w:val="bottom"/>
          </w:tcPr>
          <w:p>
            <w:pPr>
              <w:spacing w:after="0"/>
              <w:rPr>
                <w:sz w:val="19"/>
                <w:szCs w:val="19"/>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(908) 955-0526</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N/A</w:t>
            </w: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50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BGMS</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2025, Bio Green Med Solution, Inc. (the “Company”) entered into a Securities Purchase Agreement (the “Purchase Agreement”) with certain foreign accredited investors (the “Investors”), pursuant to which the Investors agreed to purchase from the Company an aggregate of 1,103,338 shares of Common Stock, par value $0.001 (the “Shares”) of the Company at a purchase price of $0.72 per share for aggregate gross proceeds of $794,403, subject to the terms and conditions of the Purchase Agreement. The proceeds of the transaction will be used for general corporate and operating purposes. The closing of the transaction occurred on June 10, 2026.</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Concurrently with the entry into the Purchase Agreement, the Company entered into a Registration Rights Agreement (the “Registration Rights Agreement”) with the Investors for the registration for resale of the Shares pursuant to a registration statement (the “Registration Statement”) to be filed with the Securities and Exchange Commission (the “SEC”). Following the effectiveness of the resale Registration Statement, the Company is obligated to keep Registration Statement continuously effective from the date on which the SEC declares the Registration Statement effective until such date that all Registrable Securities (as such term is defined in the Registration Rights Agreement) covered by such Registration Statement have been sold pursuant to a registration statement under the Securities Act of 1933, as amended (the “Securities Act”), or under Rule 144 as promulgated by the SEC under the Securities Act, or otherwise shall have ceased to be Registrable Securities. The Company will be responsible for the registration expenses incurred in connection with the registration statement.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Purchase Agreement were made solely for the benefit of the parties to the Purchase Agreement and may be subject to limitations agreed upon by the contracting parties. Accordingly, the Purchase Agreement is incorporated herein by reference only to provide information regarding the terms of the Purchase Agreement, and not to provide any other factual information regarding the Company or its business, and should be read in conjunction with the disclosures in the Company’s periodic reports and other filings with the SEC.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Registration Rights Agreement do not purport to be complete and are qualified in their entirety by reference to the full text of the Purchase Agreement and the Registration Rights Agreement which are filed as Exhibits 10.1 and 10.2, respectively,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disclosure required by this Item and included in Item 1.01 of this Current Report is incorporated herein by reference. The Shares are being sold without registration under the Securities Act, in reliance on the exemption provided by Regulation S (“Regulation S”) of the Securities Act, which permits offers or sales of securities by the Company outside of the United States that are not made to “U.S. Persons” or for the account or benefit of a “U.S. Person,” as that term is defined in Rule 902 of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78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19685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4840" w:space="720"/>
            <w:col w:w="5680"/>
          </w:cols>
          <w:pgMar w:left="320" w:top="684" w:right="339" w:bottom="1440" w:gutter="0" w:footer="0" w:header="0"/>
          <w:type w:val="continuous"/>
        </w:sect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Securities Purchase Agreement, dated as of June 10, 2025, by and among the Company and the Investors</w:t>
      </w:r>
    </w:p>
    <w:p>
      <w:pPr>
        <w:spacing w:after="0" w:line="2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7" w:lineRule="exact"/>
        <w:rPr>
          <w:sz w:val="20"/>
          <w:szCs w:val="20"/>
          <w:color w:val="auto"/>
        </w:rPr>
      </w:pPr>
    </w:p>
    <w:p>
      <w:pPr>
        <w:jc w:val="both"/>
        <w:ind w:firstLine="8"/>
        <w:spacing w:after="0" w:line="261" w:lineRule="auto"/>
        <w:tabs>
          <w:tab w:leader="none" w:pos="1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Schedules and exhibits have been omitted pursuant to Item 601(a)(5) of Regulation S-K. The Company undertakes to furnish supplemental copies of any of the omitted attachments upon request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request confidential treatment pursuant to Rule 24b-2 under the Exchange Act for any exhibits or schedules so furnished. In addition, certain personal information has been omitted pursuant to Item 601(a)(6)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7"/>
          <w:szCs w:val="17"/>
          <w:b w:val="1"/>
          <w:bCs w:val="1"/>
          <w:color w:val="auto"/>
        </w:rPr>
        <w:t>Bio Green Med Solution,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Datuk Dr. Doris Wong Sing 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10, 2026 (the “Effective Date”), between Bio Green Med Solution,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 an individual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the applicable regulations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Company desires to issue and sell to the Purchaser, and the Purchaser desires to purchase from the Company, securities of the Company as more fully described in this Agreement;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it is also understood by the parties that the Company is entering into this Agreement in order to provide for the issuance and sale by the Company of the Securities (as defined below) in an “offshore transaction” within the meaning of Regulation S under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the following terms have the meanings set forth in this Section 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given such term in Section 4.8.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given such term in Section 3.1(j).</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 or any authorized committee thereof.</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any day which is a federal legal holiday in the United States or any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with respect to each Closing, the Trading Day on which all of the Transaction Documents with respect to the applicable Closing, have been executed and delivered by the applicable parties thereto, and all conditions precedent to (i) the Purchaser’s obligations to pay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Purchase Price and (ii) the Company’s obligations to deliver the Securities, have been satisfied or waived, but in no event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Party</w:t>
      </w:r>
      <w:r>
        <w:rPr>
          <w:rFonts w:ascii="Times New Roman" w:cs="Times New Roman" w:eastAsia="Times New Roman" w:hAnsi="Times New Roman"/>
          <w:sz w:val="18"/>
          <w:szCs w:val="18"/>
          <w:color w:val="auto"/>
        </w:rPr>
        <w:t>” means all directors, officers, stockholders, employees, agents, and representatives, including those directors comprising of the current board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given such term in Section 3.1(r).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have the meaning given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given such term in Section 3.1(h).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given such term in Section 3.1(z).</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 adverse claim, lien, charge, pledge, security interest, encumbrance, right of first refusal, or preemptive right.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given such term in Section 3.1(n).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shall have the meaning given such term in Section 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to the Company’s knowledge, threatened in writing, against the Company before or by any court, arbitrator, governmental, or administrative agency or regulatory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to be filed in accordance with the Registration Rights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given to such term in Section 4.11.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______________ dollars (U.S.$_____________), payable in accordance with the terms herein in immediately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given such term in Section 3.1(e).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Minimum</w:t>
      </w:r>
      <w:r>
        <w:rPr>
          <w:rFonts w:ascii="Times New Roman" w:cs="Times New Roman" w:eastAsia="Times New Roman" w:hAnsi="Times New Roman"/>
          <w:sz w:val="18"/>
          <w:szCs w:val="18"/>
          <w:color w:val="auto"/>
        </w:rPr>
        <w:t>” means, as of any date, the maximum aggregate number of shares of Common Stock issuable or potentially issuable in the future pursuant to the Transaction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given such term in Section 3.1(h).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given such term in the 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OTC (or any successors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thereto and hereto, and any other documents or agreements executed by all or any of the Parties hereto in connection with the transactions contemplated hereunder.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Stock Transfer and Trust Company (Equiniti), the current transfer agent of the Company, with a mailing address of 6201 15th Avenue, Brooklyn, NY 11219, and any successor transfer agent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of Common Stock</w:t>
      </w:r>
      <w:r>
        <w:rPr>
          <w:rFonts w:ascii="Times New Roman" w:cs="Times New Roman" w:eastAsia="Times New Roman" w:hAnsi="Times New Roman"/>
          <w:sz w:val="18"/>
          <w:szCs w:val="18"/>
          <w:color w:val="auto"/>
        </w:rPr>
        <w:t>. Upon the terms and subject to the conditions set forth herein, the Company agrees to sell, and the Purchaser agrees to purchase _____________ United States Dollars (U.S.$___________) worth of shares of Common Stock, at a price per share of $_____, or ___</w:t>
      </w:r>
    </w:p>
    <w:p>
      <w:pPr>
        <w:spacing w:after="0"/>
        <w:rPr>
          <w:sz w:val="20"/>
          <w:szCs w:val="20"/>
          <w:color w:val="auto"/>
        </w:rPr>
      </w:pPr>
      <w:r>
        <w:rPr>
          <w:rFonts w:ascii="Times New Roman" w:cs="Times New Roman" w:eastAsia="Times New Roman" w:hAnsi="Times New Roman"/>
          <w:sz w:val="18"/>
          <w:szCs w:val="18"/>
          <w:color w:val="auto"/>
        </w:rPr>
        <w:t>Million (__________) shares of Common Stock.</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shall take place as set forth below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Purchaser shall transfer $_________ in the manner set forth in Section 2.4(b)(i), and the Company shall deliver to the Purchaser</w:t>
      </w:r>
    </w:p>
    <w:p>
      <w:pPr>
        <w:spacing w:after="0"/>
        <w:rPr>
          <w:sz w:val="20"/>
          <w:szCs w:val="20"/>
          <w:color w:val="auto"/>
        </w:rPr>
      </w:pPr>
      <w:r>
        <w:rPr>
          <w:rFonts w:ascii="Times New Roman" w:cs="Times New Roman" w:eastAsia="Times New Roman" w:hAnsi="Times New Roman"/>
          <w:sz w:val="18"/>
          <w:szCs w:val="18"/>
          <w:color w:val="auto"/>
        </w:rPr>
        <w:t>___________ shares of Common Stock, and the Company and the Purchaser shall deliver the other items set forth in Section 2.3 that are deliverable at the</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Closing. Upon satisfaction of the covenants and conditions set forth in Section 2.4, the Closing shall take place remotely by electronic transfer of the Closing deliverables and documentation.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the Purchaser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book-entry statement or share certificate evidencing issuance of the Common Stock;</w:t>
      </w:r>
    </w:p>
    <w:p>
      <w:pPr>
        <w:spacing w:after="0" w:line="225" w:lineRule="exact"/>
        <w:rPr>
          <w:rFonts w:ascii="Times New Roman" w:cs="Times New Roman" w:eastAsia="Times New Roman" w:hAnsi="Times New Roman"/>
          <w:sz w:val="18"/>
          <w:szCs w:val="18"/>
          <w:color w:val="auto"/>
        </w:rPr>
      </w:pPr>
    </w:p>
    <w:p>
      <w:pPr>
        <w:ind w:left="1380" w:right="20" w:firstLine="572"/>
        <w:spacing w:after="0" w:line="282" w:lineRule="auto"/>
        <w:tabs>
          <w:tab w:leader="none" w:pos="222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resolutions of the Company’s Board of Directors authorizing Company’s execution, delivery, and performance of this Agreement,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authorization and issuance of the Securities.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applicable Closing Date, the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Price by wire transfer to the account as specified in writing by the Company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each Closing Date of the representations and warranties of the Purchaser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firstLine="652"/>
        <w:spacing w:after="0" w:line="282" w:lineRule="auto"/>
        <w:tabs>
          <w:tab w:leader="none" w:pos="1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Purchaser of the items set forth in Section 2.3(b).</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Purchaser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each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640" w:firstLine="652"/>
        <w:spacing w:after="0" w:line="282" w:lineRule="auto"/>
        <w:tabs>
          <w:tab w:leader="none" w:pos="1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applicable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2.3 (a);</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and</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55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shall not have been suspended by the Commission or the Company’s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by the United States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any of the Securities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268605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spacing w:after="0" w:line="176" w:lineRule="exact"/>
        <w:rPr>
          <w:sz w:val="20"/>
          <w:szCs w:val="20"/>
          <w:color w:val="auto"/>
        </w:rPr>
      </w:pPr>
    </w:p>
    <w:p>
      <w:pPr>
        <w:jc w:val="both"/>
        <w:ind w:left="660" w:firstLine="644"/>
        <w:spacing w:after="0" w:line="261" w:lineRule="auto"/>
        <w:tabs>
          <w:tab w:leader="none" w:pos="15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if any, and their respective jurisdictions of incorporation or organization are set forth in the SEC Reports. Other than as stated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other than as set forth in the SEC Reports,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Other than as set forth in the SEC Reports, neither the Company nor any Subsidiary is in violation nor default of any of the provisions of its respective certificate or articles of incorporation, bylaws or other organizational or charter documents. Each of the Company, and other than as set forth in the SEC Reports, any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result in: (i) a material adverse effect on the legality, validity or enforceability of any Transaction Document, (ii) a material adverse effect on the results of operations, assets, business, liabilities or condition (financial or otherwise) of the Company and any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provided, that a change in the market price or trading volume of the Common Stock alone shall not be deemed to constitute a Material Adverse Effect; and no Proceeding has been instituted in any such jurisdiction revoking, limiting or curtailing or seeking to revoke, limit or curtail such power and authority or qualification.</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left="4" w:firstLine="644"/>
        <w:spacing w:after="0" w:line="267" w:lineRule="auto"/>
        <w:tabs>
          <w:tab w:leader="none" w:pos="907"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receipt of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such as could not have or reasonably be expected to result in a Material Adverse Effect.</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9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Except as set forth in SEC Reports,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w:t>
      </w:r>
    </w:p>
    <w:p>
      <w:pPr>
        <w:spacing w:after="0" w:line="1"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filings and approvals required pursuant to Sections 4.7, 4.12 and 4.14, (ii) the notice and/or application(s) to each applicable Trading Market for the issuance and sale of the Securities and the listing of the Common Stock for trading thereon in the time and manner required thereby, and (iii)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Common Stock is duly designated (as applicable), authorized and, when issued and paid for in accordance with the applicable Transaction Documents, will be duly and validly issued, fully paid, and nonassessable, free and clear of any Lien imposed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1" w:name="page12"/>
    <w:bookmarkEnd w:id="11"/>
    <w:p>
      <w:pPr>
        <w:jc w:val="both"/>
        <w:ind w:left="-460" w:firstLine="644"/>
        <w:spacing w:after="0" w:line="252" w:lineRule="auto"/>
        <w:tabs>
          <w:tab w:leader="none" w:pos="4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shares of Common Stock owned beneficially, and of record, by Affiliates of the Company as of the date hereof.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no Person has any right of first refusal, preemptive right, right of participation, or any similar right to participate in the transactions contemplated by the Transaction Documents.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and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Stock or other securities, or contracts, commitments, understandings or arrangements by which the Company or any Subsidiary is or may become bound to issue additional Common Stock or Common Stock Equivalents. The issuance and sale of the Securities will not obligate the Company or any Subsidiary to issue Common Stock or other securities of the Company to any Person (other than the Purchaser). Except as set forth in the SEC Reports, there are no outstanding securities or instruments of the Company or any Subsidiary with any provision that adjusts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shares of capital stock of the Company are duly authorized, validly issued, fully paid and non-assessable, have been issued in compliance in all material respects with all federal and state securities laws where applicable, and none of such outstanding shares was issued in violation of any preemptive rights or similar rights to subscribe for or purchase securities. Except for the Required Approvals, no further approval or authorization of any stockholder of the Company, the Board of Directors of the Company or others is required for the issuance and sale of the Securities. There are no stockholder agreements, voting agreements or other similar agreements with respect to the Company’s share capital to which the Company is a party or, to the knowledge of the Company, between or among any of the Company’s stockholders.</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 w:name="page13"/>
    <w:bookmarkEnd w:id="12"/>
    <w:p>
      <w:pPr>
        <w:jc w:val="both"/>
        <w:ind w:left="-460" w:firstLine="644"/>
        <w:spacing w:after="0" w:line="252" w:lineRule="auto"/>
        <w:tabs>
          <w:tab w:leader="none" w:pos="4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financial statements included within the SEC Reports, except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xml:space="preserve"> or except as disclosed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in any material respect,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any Subsidiary,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None of the Actions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xml:space="preserve">,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that could result in a Material Adverse Effect.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has not been, and to the knowledge of the Company, there is not pending or contemplated, any investigation by the Commission involving the Company or any current or former director or executive officer of the Company. The Commission has not issued any stop order or other order suspending the effectiveness of any registration statement filed by the Company or any Subsidiary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3" w:name="page14"/>
    <w:bookmarkEnd w:id="13"/>
    <w:p>
      <w:pPr>
        <w:jc w:val="both"/>
        <w:ind w:left="-460" w:firstLine="644"/>
        <w:spacing w:after="0" w:line="253" w:lineRule="auto"/>
        <w:tabs>
          <w:tab w:leader="none" w:pos="4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3.1(k)</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employees is a member of a union that relates to such employee’s relationship with the Company, and the Company is not a party to a collective bargaining agreement, and the Company believes that its relationships with its employees are good. To the knowledge of the Company, no executive officer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to any liability with respect to any of the foregoing matters. The Company is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3.1(l)</w:t>
      </w:r>
      <w:r>
        <w:rPr>
          <w:rFonts w:ascii="Times New Roman" w:cs="Times New Roman" w:eastAsia="Times New Roman" w:hAnsi="Times New Roman"/>
          <w:sz w:val="18"/>
          <w:szCs w:val="18"/>
          <w:color w:val="auto"/>
        </w:rPr>
        <w:t xml:space="preserve"> of the Company Disclosure Schedules, the Company: (i) is not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not in violation of any judgment, decree or order of any court, arbitrator or other governmental authority or (iii) is or has, to the Company’s knowledge, not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knowledge of the Company, the Company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4" w:name="page15"/>
    <w:bookmarkEnd w:id="14"/>
    <w:p>
      <w:pPr>
        <w:jc w:val="both"/>
        <w:ind w:left="-460" w:firstLine="644"/>
        <w:spacing w:after="0" w:line="261" w:lineRule="auto"/>
        <w:tabs>
          <w:tab w:leader="none" w:pos="4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possesses all certificates, authorizations and permits issued by the appropriate federal, state, local or foreign regulatory authorities necessary to conduct its business as currently conducted,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the Company has not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has good and marketable title in fee simple to all real property owned by it and good and marketable title in all personal property owned by them that is material to the business of the Company, in each case free and clear of all Liens, except for (i) Liens as do not materially affect the value of such property and do not materially interfere with the use made and proposed to be made of such property by the Company and (ii) Liens for the payment of federal, state or other taxes, for which appropriate reserves have been made therefor in accordance with GAAP and, the payment of which is neither delinquent nor subject to penalties. Any real property and facilities currently held under lease by the Company are held by them under valid, subsisting and enforceable leases with which the Company are in compliance in all material respects.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Exemption</w:t>
      </w:r>
      <w:r>
        <w:rPr>
          <w:rFonts w:ascii="Times New Roman" w:cs="Times New Roman" w:eastAsia="Times New Roman" w:hAnsi="Times New Roman"/>
          <w:sz w:val="18"/>
          <w:szCs w:val="18"/>
          <w:color w:val="auto"/>
        </w:rPr>
        <w:t>. Subject to the accuracy of the representations of the Purchaser set forth in this Agreement, the offer, sale and issuance of the Securities to be issued in conformity with the terms of this Agreement constitute transactions which are exempt from the registration requirements of the Securities Act and from all applicable state registration or qualification requirements. The Company has implemented all necessary offering restrictions applicable to the transactions contemplated by this Agreement under Regulation S promulgated under the Securities Act. Subject to the receipt of the Required Approvals and assuming the accuracy of the Purchaser’s representations and warranties set forth in Section 3.2, the issuance and sale of the Securities hereunder will not contravene the rules and regulations of the Trading Market. Assuming the accuracy of the Purchaser’s representations and warranties set forth in Section 3.2, the issuance and sale of the Securities by the Company to the Purchaser is exempt from the Prospectus requirements of applicable securities laws of the location of the Purchaser and no Prospectus or other document is required to be filed, under such applicable securities laws and no Proceeding is required to be taken and no approval, permit, consent or authorization of regulatory authorities is required to be obtained by the Company under such securities laws to permit such issuance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5" w:name="page16"/>
    <w:bookmarkEnd w:id="15"/>
    <w:p>
      <w:pPr>
        <w:jc w:val="both"/>
        <w:ind w:left="-460" w:firstLine="644"/>
        <w:spacing w:after="0" w:line="254" w:lineRule="auto"/>
        <w:tabs>
          <w:tab w:leader="none" w:pos="4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and, to the knowledge of the Company, none of the employees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if any,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in each case as disclosed in the Company’s SEC Reports.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brokerage or finder’s fees or commissions are or will be payable by the Company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6" w:name="page17"/>
    <w:bookmarkEnd w:id="16"/>
    <w:p>
      <w:pPr>
        <w:jc w:val="both"/>
        <w:ind w:left="-460" w:firstLine="644"/>
        <w:spacing w:after="0" w:line="261" w:lineRule="auto"/>
        <w:tabs>
          <w:tab w:leader="none" w:pos="4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required to register as an “investment company” within the meaning of the Investment Company Act of 1940, as amended. The Company shall conduct its business in a manner so that it will not be required to register as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the Company’s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has taken commercially reasonable efforts to reach compliance with the listing or maintenance requirements in the foreseeable future.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Purchaser’s and the Company’s fulfilling their obligations or exercising their rights under the Transaction Documents, including without limitation as a result of the Company’s issuance of the Securities and the Purchaser’s ownership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 w:name="page18"/>
    <w:bookmarkEnd w:id="17"/>
    <w:p>
      <w:pPr>
        <w:jc w:val="both"/>
        <w:ind w:left="4" w:firstLine="644"/>
        <w:spacing w:after="0" w:line="253"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the Purchaser or its agents or counsel with any information that it believes constitutes or might constitute material, non-public information which has not been otherwise disclosed. The Company understands and confirms that the Purchaser will rely on the foregoing representation in effecting transactions in securities of the Company. All of the disclosure furnished by or on behalf of the Company to the Purchaser regarding the Company and its Subsidiaries, their respective businesses and the transactions contemplated hereby, including in the SEC Reports or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the Purchaser neither makes nor has made any representations or warranties with respect to the transactions contemplated hereby other than those specifically set forth in Section 3.2 hereof.</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any applicable stockholder approval provisions of any Trading Market on which any of the securities of the Company are listed or designated, or (ii) the Securities Act which would require the registration of any such securities under the Securities Act.</w:t>
      </w:r>
    </w:p>
    <w:p>
      <w:pPr>
        <w:spacing w:after="0" w:line="183" w:lineRule="exact"/>
        <w:rPr>
          <w:rFonts w:ascii="Times New Roman" w:cs="Times New Roman" w:eastAsia="Times New Roman" w:hAnsi="Times New Roman"/>
          <w:sz w:val="18"/>
          <w:szCs w:val="18"/>
          <w:color w:val="auto"/>
        </w:rPr>
      </w:pPr>
    </w:p>
    <w:p>
      <w:pPr>
        <w:ind w:left="884" w:hanging="236"/>
        <w:spacing w:after="0"/>
        <w:tabs>
          <w:tab w:leader="none" w:pos="8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55" w:lineRule="auto"/>
        <w:tabs>
          <w:tab w:leader="none" w:pos="9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if any,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267970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8" w:name="page19"/>
    <w:bookmarkEnd w:id="18"/>
    <w:p>
      <w:pPr>
        <w:jc w:val="both"/>
        <w:ind w:left="4" w:firstLine="644"/>
        <w:spacing w:after="0" w:line="261" w:lineRule="auto"/>
        <w:tabs>
          <w:tab w:leader="none" w:pos="9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 and Lawyers</w:t>
      </w:r>
      <w:r>
        <w:rPr>
          <w:rFonts w:ascii="Times New Roman" w:cs="Times New Roman" w:eastAsia="Times New Roman" w:hAnsi="Times New Roman"/>
          <w:sz w:val="18"/>
          <w:szCs w:val="18"/>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the Purchaser’s representatives or agents in connection with the Transaction Documents and the transactions contemplated thereby is merely incidental to the Purchaser’s purchase of the Securities.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00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or Directed Selling Efforts</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or “directed selling efforts” (as defined in Rule 902(c) of Regulation S). The Company has offered the Securities for sale only to the Purchaser.</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0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equity incentive plans was granted (i) in accordance with the terms of the Company’s equity incentive plans and (ii) with an exercise price at least equal to the fair market value of the Common Stock on the date such stock option would be considered granted under GAAP and applicable law. No stock option granted under the Company’s equity incentive plans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267970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9" w:name="page20"/>
    <w:bookmarkEnd w:id="19"/>
    <w:p>
      <w:pPr>
        <w:jc w:val="both"/>
        <w:ind w:left="-460" w:firstLine="644"/>
        <w:spacing w:after="0" w:line="253" w:lineRule="auto"/>
        <w:tabs>
          <w:tab w:leader="none" w:pos="5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To the knowledge and belief of the Company, (i)(x) there has been no security breach or other compromise of or relating to any of the Company’s material information technology and computer systems, networks, hardware, software, data (including the data of its respective customers, employees, suppliers, vendors and any third party data maintained by or on behalf of the Company),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has not been notified in writing of, and has no knowledge of any event or condition that would reasonably be expected to result in, any security breach or other compromise to its IT Systems and Data; (ii) the Company is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has implemented and maintained commercially reasonable safeguards to maintain and protect its material confidential information and the integrity, continuous operation, redundancy and security of all IT Systems and Data; and (iv) the Company has implemented backup and disaster recovery technology consistent with industry standards and practices.</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or has never been a U.S. real property holding corporation within the meaning of Section 897 of the Internal Revenue Code of 1986, as amended, and the Company shall so certify upon the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0" w:name="page21"/>
    <w:bookmarkEnd w:id="20"/>
    <w:p>
      <w:pPr>
        <w:jc w:val="both"/>
        <w:ind w:left="660" w:firstLine="644"/>
        <w:spacing w:after="0" w:line="258" w:lineRule="auto"/>
        <w:tabs>
          <w:tab w:leader="none" w:pos="17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threatened.</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660" w:firstLine="644"/>
        <w:spacing w:after="0" w:line="255" w:lineRule="auto"/>
        <w:tabs>
          <w:tab w:leader="none" w:pos="15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Purchaser has the right and legal capacity to enter into and to consummate the transactions contemplated by the Transaction Documents and otherwise to carry out its obligations hereunder and thereunder. Each Transaction Document to which it is a party has been duly executed by the Purchaser, and when delivered by the Purchaser in accordance with the terms hereof or thereof,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The Purchaser is acquiring the Securities in compliance with applicable securities laws, and in the ordinary course of its business. The Purchaser understands that the Securities are “restricted securities” and have not been registered under the Securities Act or any applicable state securities law, has no present intention of distributing any of such Securities in violation of the Securities Act or any applicable state securities law (this representation and warranty not limiting such the Purchaser’s right to sell such Securities pursuant to a registration statement or otherwise in compliance with applicable federal and state securities laws).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the Purchaser was offered the Securities, it was, and as of the date hereof it is, it will be either (i) an “accredited investor” as defined in Rule 501(a)(1), (a)(2), (a)(3), (a)(7) or (a)(8) under the Securities Act, or (ii) a “qualified institutional buyer” as defined in Rule 144A(a) under the Securities Act. In addition, if the Purchaser has purchased the Securities pursuant to Regulation S, and the Purchaser represents and warrants that (i) at the time he, she or it was offered the Securities he, she or it was not, as of the date hereof it is not, and throughout the Closing Date he, she or it will continue not to be, a “U.S. Person” as that term is defined in Rule 902 of Regulation S, and (ii) he, she or it has, and will at all times have, executed all documents (including this Agreement)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left="-460" w:firstLine="644"/>
        <w:spacing w:after="0" w:line="261" w:lineRule="auto"/>
        <w:tabs>
          <w:tab w:leader="none" w:pos="4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The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the Purchaser, any other general solicitation or general advertising. In addition, the Purchaser is not purchasing the Securities as a result of any “directed selling efforts” (as defined in Rule 902(c) of Regulation S) in the United States.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Purchaser</w:t>
      </w:r>
      <w:r>
        <w:rPr>
          <w:rFonts w:ascii="Times New Roman" w:cs="Times New Roman" w:eastAsia="Times New Roman" w:hAnsi="Times New Roman"/>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the Purchaser has not directly or indirectly, nor has any Person acting on behalf of or pursuant to any understanding with the Purchaser,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or to such Purchaser’s and/or transferee’s representatives, including, without limitation, its officers, directors, partners, legal and other advisors, employees, agents and Affiliates, such Purchaser and/or transferee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The Purchaser agrees that the Securities, issued pursuant to exemptions from registration under the Securities Act, shall each bear legends stating that transfer of those Securities is restricted, substantially as follows:</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THIS SECURITY IS BEING OFFERED TO INVESTORS WHO ARE NOT U.S. PERSONS (AS DEFINED IN REGULATION S UNDER THE SECURITIES ACT OF 1933, AS AMENDED (“THE SECURITIES ACT”)) AND WITHOUT REGISTRATION WITH THE UNITED STATES SECURITIES AND EXCHANGE COMMISSION UNDER THE SECURITIES ACT IN RELIANCE UPON REGULATION S PROMULGATED UNDER THE SECURITIES ACT. TRANSFER OF THIS SECURITY IS PROHIBITED, EXCEPT PURSUANT TO REGISTRATION UNDER THE SECURITIES ACT OR PURSUANT TO AVAILABLE EXEMPTION FROM REGISTRATION. HEDGING TRANSACTIONS MAY NOT BE CONDUCTED UNLESS IN COMPLIANCE WITH THE SECURITIES ACT.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The Company acknowledges and agrees that the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subject to compliance with the terms of this Agreement, are not subject to any right of set off, counterclaim, delay or reduction based solely on the dilutive effect that such issuance may have on the ownership of the other stockholders of the Company; provided, however, that nothing herein shall be deemed to limit or waive any defenses, counterclaims, or rights of set off that the Company may have against the Purchaser arising from the Purchaser’s breach of this Agreement or any other Transaction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4" w:lineRule="auto"/>
        <w:tabs>
          <w:tab w:leader="none" w:pos="8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except in the event that the Company consummates (in each case on or after the date as of which the Purchasers may sell all of their Securities without restriction or limitation pursuant to Rule 144): (a) any transaction or series of related transactions as a result of which any Person (together with its Affiliates) acquires then outstanding securities of the Company representing more than fifty percent (50%) of the voting control of the Company; (b) a merger or reorganization of the Company with one or more other entities in which the Company is not the surviving entity; or (c) a sale of all or substantially all of the assets of the Company, where the consummation of such transaction results in the Company no longer being subject to the reporting requirements of the Exchange Act.</w:t>
      </w:r>
    </w:p>
    <w:p>
      <w:pPr>
        <w:spacing w:after="0" w:line="191" w:lineRule="exact"/>
        <w:rPr>
          <w:rFonts w:ascii="Times New Roman" w:cs="Times New Roman" w:eastAsia="Times New Roman" w:hAnsi="Times New Roman"/>
          <w:sz w:val="18"/>
          <w:szCs w:val="18"/>
          <w:color w:val="auto"/>
        </w:rPr>
      </w:pPr>
    </w:p>
    <w:p>
      <w:pPr>
        <w:jc w:val="both"/>
        <w:ind w:firstLine="644"/>
        <w:spacing w:after="0" w:line="257" w:lineRule="auto"/>
        <w:tabs>
          <w:tab w:leader="none" w:pos="8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commencing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 (i)</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one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percent (1.0%) of the Purchase Price on the day 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(prorated for periods totaling less than thirty days) thereafter until the earlier of (a) the date such Public Information Failure is cured and (b) such time that such public information is no longer required for the Purchaser to transfer the Securities pursuant to Rule 144. The parties agree that the maximum aggregate liquidated damages payable to a Purchaser under this Section 4.3(b) shall be five percent (5%) of the aggregate Purchase Price paid by such Purchaser pursuant to this Agreement.</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payments to which a Purchaser shall be entitled pursuant to this Section 4.3(b) are referred to herein as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w:t>
      </w:r>
    </w:p>
    <w:p>
      <w:pPr>
        <w:jc w:val="both"/>
        <w:spacing w:after="0" w:line="236" w:lineRule="auto"/>
        <w:rPr>
          <w:sz w:val="20"/>
          <w:szCs w:val="20"/>
          <w:color w:val="auto"/>
        </w:rPr>
      </w:pPr>
      <w:r>
        <w:rPr>
          <w:rFonts w:ascii="Times New Roman" w:cs="Times New Roman" w:eastAsia="Times New Roman" w:hAnsi="Times New Roman"/>
          <w:sz w:val="18"/>
          <w:szCs w:val="18"/>
          <w:color w:val="auto"/>
        </w:rPr>
        <w:t>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eight percent (8%) per annum (or such lesser maximum amount that is permitted to be paid by applicable law (prorated for partial months) until paid in full. The partial liquidated damages pursuant to the terms hereof shall apply on a daily pro rata basis for any portion of a month prior to the cure of a Public Information Failure.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276225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The Company shall not voluntarily initiate, or cause to be initiated, any bankruptcy proceeding for itself, unless required by applicable law. Notwithstanding the above, the Company may initiate such proceedings for any or all of its Subsidiaries.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and the Purchaser or any transferee thereof, shall terminate and be of no further force or effect. The Company understands and confirms that Purchaser shall be relying on the foregoing covenant in effecting transactions in securities of the Company. The Company and Purchaser shall consult with each other in issuing any other press releases with respect to the transactions contemplated hereby, and neither the Company nor the Purchaser shall issue any such press release nor otherwise make any such public statement without the prior consent of the Company, with respect to any press release of the Purchaser , or without the prior consent of the Purchaser ,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the Purchaser in any filing with the Commission or any regulatory agency or Trading Market, without the prior written consent of the Purchaser, except: (a) as required by federal securities law in connection with the filing of final Transaction Documents with the Commission and (b) to the extent such disclosure is required by law or Trading Market regulations, in which case the Company shall provide the Purchaser with prior notice of such disclosure permitted under this clause (b) and reasonably cooperate with the Purchaser regarding such disclosure.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Stockholder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the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Securities under the Transaction Documents or under any other agreement between the Company and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in its sole discretion not in violation of FCPA or OFAC regulations.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Subject to the subsections of this Section 4.10, the Purchaser will indemnify and hold the Company and each Company Party harmless from any and all losses, liabilities, obligations, claims, contingencies, damages, costs and expenses, including all judgments, amounts paid in settlements, court costs and reasonable attorneys’ fees and costs of investigation that any such Company Party may suffer or incur as a result of or relating to (a) any inaccuracy in or breach of any of the representations, warranties, covenants or agreements made by the Purchaser in this Agreement or in the other Transaction Documents or (b) any action instituted against the Company in any capacity, or any of them or their respective Affiliates, by any stockholder of the Company, with respect to any of the transactions contemplated by the Transaction Documents (unless such action is solely based upon a material breach of such Company Party’s representations, warranties or covenants under the Transaction Documents or any agreements or understandings such Company Party may have with any such stockholder or any violations by such Company Party of state or federal securities laws or any conduct by such Company Party which is finally judicially determined to constitute fraud, gross negligence or willful misconduct). If any action shall be brought against any Company Party in respect of which indemnity may be sought pursuant to this Agreement, such Company Party shall promptly notify the Purchaser in writing, and the Purchaser shall have the right to assume the defense thereof, including the employment of counsel reasonably acceptable to the Company Party and the payment of all fees and expenses incurred in connection with defense thereof; provided, that the failure of any Company Party to give such notice shall not relieve the Purchaser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Purchaser.. Any Company Party shall have the right to employ separate counsel in any such action and participate in the defense thereof, but the fees and expenses of such counsel shall be at the expense of such Company Party except to the extent that (i) the employment thereof has been specifically authorized by the Purchaser in writing, (ii) the Purchaser shall have failed promptly to assume the defense of such action and to employ counsel reasonably satisfactory to such Company Party or (iii) in such action there is, in the reasonable opinion of counsel, a material conflict on any material issue between the position of the Purchaser and the position of such Company Party (in which case, if such Company Party notifies the Purchaser in writing that it elects to employ separate counsel at the expense of the Purchaser, the Purchaser shall not have the right to assume the defense thereof and the reasonable fees and expenses of no more than one separate counsel shall be at the expense of the Purchaser). The Purchaser shall not be liable for any settlement of any such action effected without its written consent, which consent shall not be unreasonably withheld or delayed. No Indemnifying Party shall, without the prior written consent of the Company Party, effect any settlement of any pending action in respect of which any Company Party is a party, unless such settlement includes an unconditional release of such Company Party from all liability on claims that are the subject matter of such action. Subject to the terms of this Agreement, all reasonable fees and expenses of the Company Party (including reasonable fees and expenses to the extent incurred in connection with investigating or preparing to defend such action in a manner not inconsistent with this Section) shall be paid to the Company Party, as incurred, within ten (10) Trading Days of written notice thereof to the Purchaser; provided, that the Company Party shall promptly reimburse the Purchaser for that portion of such fees and expenses applicable to such actions for which such Company Party is finally determined by a court of competent jurisdiction (which determination is not subject to appeal or further review) not to be entitled to indemnification hereunder. The indemnity agreements contained herein shall be in addition to any cause of action or similar right of any Company Party against the Purchaser or others and any liabilities the Purchaser may be subject to pursuant to law. Such indemnity shall remain in full force and effect regardless of any investigation made by or on behalf of such indemnified Person and shall survive the Closing and the transfer of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Indemnification of Purchaser</w:t>
      </w:r>
      <w:r>
        <w:rPr>
          <w:rFonts w:ascii="Times New Roman" w:cs="Times New Roman" w:eastAsia="Times New Roman" w:hAnsi="Times New Roman"/>
          <w:sz w:val="18"/>
          <w:szCs w:val="18"/>
          <w:color w:val="auto"/>
        </w:rPr>
        <w:t>. Subject to the subsections of this Section 4.11, the Company will indemnify and hold the Purchaser and its directors, officers, stockholders, members, partners, employees and agents (and any other Persons with a functionally equivalent role of a Person holding such titles notwithstanding a lack of such title or any other title), each Person who controls the Purchaser (within the meaning of Section 15 of the Securities Act or Section 20 of the Exchange Act) and the directors, officers, members, partners, agents and employees of each such controlling Person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(collectively, “</w:t>
      </w:r>
      <w:r>
        <w:rPr>
          <w:rFonts w:ascii="Times New Roman" w:cs="Times New Roman" w:eastAsia="Times New Roman" w:hAnsi="Times New Roman"/>
          <w:sz w:val="18"/>
          <w:szCs w:val="18"/>
          <w:u w:val="single" w:color="auto"/>
          <w:color w:val="auto"/>
        </w:rPr>
        <w:t>Purchaser Losses</w:t>
      </w:r>
      <w:r>
        <w:rPr>
          <w:rFonts w:ascii="Times New Roman" w:cs="Times New Roman" w:eastAsia="Times New Roman" w:hAnsi="Times New Roman"/>
          <w:sz w:val="18"/>
          <w:szCs w:val="18"/>
          <w:color w:val="auto"/>
        </w:rPr>
        <w:t>”) as a result of or relating to (a) any inaccuracy in or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within twenty (20) days after notice from the Purchaser Party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4.11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indemnification under Section 4.10 or Section 4.11 is unavailable to an indemnified party or insufficient to hold an indemnified party harmless for any Company Losses or Purchaser Losses (as applicable),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Company Losses or Purchaser Losses, as applicable,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Company Losses or Purchaser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Section 4.10 or Section 4.11 was available to such party in accordance with its terms. The parties hereto agree that it would not be just and equitable if contribution pursuant to this Section 4.11 were determined by pro rata allocation or by any other method of allocation that does not take into account the equitable considerations referred to in the immediately preceding sentences. In no event shall the contribution obligation of the Purchaser be greater in amount than the Purchase Price paid by the Purchaser hereunder, net of all expenses paid by the Purchaser in connection with any claim relating to this Section and the amount of any damages the Purchaser has otherwise been required to pay by reason of the applicable actions, statements, or omissions. The indemnity and contribution agreements contained in Sections 4.10 and 4.11 are in addition to any liability that the indemnifying parties may have to the indemnified parties.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Reservation and Listing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6" w:lineRule="auto"/>
        <w:tabs>
          <w:tab w:leader="none" w:pos="15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limited by the Company’s authorized shares of Common Stock, the Company shall maintain a reserve from its duly authorized shares of Common Stock for issuance pursuant to the Transaction Documents in such amount as may then be required to fulfill its obligations in full under the Transaction Documents.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the number of authorized but unissued (and otherwise unreserved) shares of Common Stock is less than the Required Minimum on such date, then the Board of Directors shall include a proposal for an amendment to the Company’s certificate of incorporation to increase the number of authorized but unissued shares of Common Stock to at least the Required Minimum at a duly called meeting of the stockholders of the Company.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if applicable: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listed on such Trading Market as soon as possible thereafter, (iii) provide to the Purchaser evidence of such listing and (iv) use commercially reasonable efforts to maintain the listing of such Common Stock on such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4.7. The Purchaser covenants that until such time as the transactions contemplated by this Agreement are publicly disclosed by the Company pursuant to the initial press release as described in Section 4.7, the Purchaser will maintain the confidentiality of the existence and terms of this transaction and the information included in this Agreement and the Disclosure Schedules (other than as disclosed to its legal and other representatives). Notwithstanding the foregoing, and notwithstanding anything contained in this Agreement to the contrary, the Company expressly acknowledges and agrees that (i) the Purchaser makes no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4.7; (ii) the Purchaser shall not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4.7; and (iii) the Purchaser shall have no duty of confidentiality or duty not to trade in the securities of the Company to the Company, any of its Subsidiaries, or any of their respective officers, directors, employees, Affiliates or agents after the issuance of the initial press release as described in Section 4.7. Notwithstanding the foregoing, if the Purchaser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covenant set forth above shall only apply with respect to the portion of assets managed by the portfolio manager that made the investment decision to purchase the Securities covered by this Agreement.</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agrees to use commercially reasonable efforts to obtain approval of the stockholders of the Company for the transactions contemplated by this Agreement, to the extent required by applicable law or the rules of the Trading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all costs and expenses incident to the performance of its obligations under this Agreement, whether or not the transactions contemplated hereunder are consummated or this Agreement is terminated, including expenses, fees and taxes in connection with</w:t>
      </w:r>
    </w:p>
    <w:p>
      <w:pPr>
        <w:jc w:val="both"/>
        <w:ind w:left="660" w:hanging="4"/>
        <w:spacing w:after="0" w:line="253" w:lineRule="auto"/>
        <w:tabs>
          <w:tab w:leader="none" w:pos="8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issuance and delivery of the certificates for the Securities to the Purchaser, including any stock or other transfer taxes or duties payable upon the sale of the Securities to the Purchaser, (ii) the filing for any required review of the offering of the Securities by FINRA (including the legal fees and filing fees and other disbursements of counsel for the Purchaser relating thereto), (iii) the fees and expenses incurred in connection with the listing of the Securities on Nasdaq, and (iv) the performance of the Company’s other obligations hereunder.</w:t>
      </w:r>
    </w:p>
    <w:p>
      <w:pPr>
        <w:spacing w:after="0" w:line="186"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5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set forth in the Transaction Documents to the contrary,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each Party shall otherwise pay the fees and expenses of its advisers, counsel, accountants and other experts, if any, and all other expenses incurred by such Party incident to the negotiation, preparation, execution, delivery and performance of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all Transfer Agent fees (including, without limitation, any fees required for same-day processing of any instruction letter delivered by the Company), stamp taxes and other taxes and duties levied in connection with the delivery of any Securities to the Purchaser.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5.4 shall be binding upon the Purchaser and holder of Securities and the Company.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Securities, provided that such transferee agrees in writing to be bound, with respect to the transferred Securities, by the provisions of the Transaction Documents that apply to the Purchaser.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or waived by, any other Person, except as otherwise set forth in Section 5.6.</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4.10,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 for the period of the applicable statute of limitations.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other electronic signing crated on an electronic platform (such as DocuSign),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the Purchaser pursuant to any Transaction Document or the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Usury</w:t>
      </w:r>
      <w:r>
        <w:rPr>
          <w:rFonts w:ascii="Times New Roman" w:cs="Times New Roman" w:eastAsia="Times New Roman" w:hAnsi="Times New Roman"/>
          <w:sz w:val="18"/>
          <w:szCs w:val="18"/>
          <w:color w:val="auto"/>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Closing Date thereof forward, unless such application is precluded by applicable law. If under any circumstances whatsoever, interest in excess of the Maximum Rate is paid by the Company to the Purchaser with respect to indebtedness evidenced by the Transaction Documents, such excess shall be applied by the Purchaser to the unpaid principal balance of any such indebtedness or be refunded to the Company, the manner of handling such excess to be at the Purchaser’s election.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AGAINST ANY OTHER PARTY, THE PARTIES EACH KNOWINGLY AND INTENTIONALLY, TO THE GREATEST EXTENT PERMITTED BY APPLICABLE LAW, HEREBY ABSOLUTELY, UNCONDITIONALLY, IRREVOCABLY AND EXPRESSLY WAIVES FOREVER TRIAL BY JURY.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30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5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Bio Green Med Solution, Inc.</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Datuk Dr. Doris Wong Sing Ee</w:t>
            </w:r>
          </w:p>
        </w:tc>
        <w:tc>
          <w:tcPr>
            <w:tcW w:w="2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Level 10, Tower 11, Avenue 5, No. 8</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Its:Chief Executive Officer</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Jalan Kerinchi,</w:t>
            </w:r>
          </w:p>
        </w:tc>
      </w:tr>
      <w:tr>
        <w:trPr>
          <w:trHeight w:val="216"/>
        </w:trPr>
        <w:tc>
          <w:tcPr>
            <w:tcW w:w="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Kuala Lumpur, Malaysia 59200</w:t>
            </w:r>
          </w:p>
        </w:tc>
      </w:tr>
      <w:tr>
        <w:trPr>
          <w:trHeight w:val="216"/>
        </w:trPr>
        <w:tc>
          <w:tcPr>
            <w:tcW w:w="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Attention: Datuk Dr. Doris Wong Sing Ee, CEO</w:t>
            </w:r>
          </w:p>
        </w:tc>
      </w:tr>
      <w:tr>
        <w:trPr>
          <w:trHeight w:val="234"/>
        </w:trPr>
        <w:tc>
          <w:tcPr>
            <w:tcW w:w="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E-mail: _______________</w:t>
            </w:r>
          </w:p>
        </w:tc>
      </w:tr>
      <w:tr>
        <w:trPr>
          <w:trHeight w:val="432"/>
        </w:trPr>
        <w:tc>
          <w:tcPr>
            <w:tcW w:w="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r>
      <w:tr>
        <w:trPr>
          <w:trHeight w:val="414"/>
        </w:trPr>
        <w:tc>
          <w:tcPr>
            <w:tcW w:w="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Debbie Klis, Esq.</w:t>
            </w:r>
          </w:p>
        </w:tc>
      </w:tr>
      <w:tr>
        <w:trPr>
          <w:trHeight w:val="216"/>
        </w:trPr>
        <w:tc>
          <w:tcPr>
            <w:tcW w:w="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Rimon Law, P.C.</w:t>
            </w:r>
          </w:p>
        </w:tc>
      </w:tr>
      <w:tr>
        <w:trPr>
          <w:trHeight w:val="216"/>
        </w:trPr>
        <w:tc>
          <w:tcPr>
            <w:tcW w:w="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1050 Connecticut Ave NW, Suite 500</w:t>
            </w:r>
          </w:p>
        </w:tc>
      </w:tr>
      <w:tr>
        <w:trPr>
          <w:trHeight w:val="216"/>
        </w:trPr>
        <w:tc>
          <w:tcPr>
            <w:tcW w:w="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Washington D.C. 20036</w:t>
            </w:r>
          </w:p>
        </w:tc>
      </w:tr>
      <w:tr>
        <w:trPr>
          <w:trHeight w:val="194"/>
        </w:trPr>
        <w:tc>
          <w:tcPr>
            <w:tcW w:w="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E-mail: deborrah.klis@rimonlaw.com</w:t>
            </w:r>
          </w:p>
        </w:tc>
      </w:tr>
      <w:tr>
        <w:trPr>
          <w:trHeight w:val="20"/>
        </w:trPr>
        <w:tc>
          <w:tcPr>
            <w:tcW w:w="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140" w:type="dxa"/>
            <w:vAlign w:val="bottom"/>
            <w:gridSpan w:val="2"/>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34"/>
        </w:trPr>
        <w:tc>
          <w:tcPr>
            <w:tcW w:w="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160" w:type="dxa"/>
            <w:vAlign w:val="bottom"/>
            <w:gridSpan w:val="6"/>
          </w:tcPr>
          <w:p>
            <w:pPr>
              <w:jc w:val="center"/>
              <w:ind w:right="3080"/>
              <w:spacing w:after="0"/>
              <w:rPr>
                <w:sz w:val="20"/>
                <w:szCs w:val="20"/>
                <w:color w:val="auto"/>
              </w:rPr>
            </w:pPr>
            <w:r>
              <w:rPr>
                <w:rFonts w:ascii="Times New Roman" w:cs="Times New Roman" w:eastAsia="Times New Roman" w:hAnsi="Times New Roman"/>
                <w:sz w:val="18"/>
                <w:szCs w:val="18"/>
                <w:color w:val="auto"/>
                <w:w w:val="99"/>
              </w:rPr>
              <w:t>[REMAINDER OF PAGE INTENTIONALLY LEFT BLANK</w:t>
            </w:r>
          </w:p>
        </w:tc>
      </w:tr>
      <w:tr>
        <w:trPr>
          <w:trHeight w:val="234"/>
        </w:trPr>
        <w:tc>
          <w:tcPr>
            <w:tcW w:w="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160" w:type="dxa"/>
            <w:vAlign w:val="bottom"/>
            <w:gridSpan w:val="6"/>
          </w:tcPr>
          <w:p>
            <w:pPr>
              <w:jc w:val="center"/>
              <w:ind w:right="3080"/>
              <w:spacing w:after="0"/>
              <w:rPr>
                <w:sz w:val="20"/>
                <w:szCs w:val="20"/>
                <w:color w:val="auto"/>
              </w:rPr>
            </w:pPr>
            <w:r>
              <w:rPr>
                <w:rFonts w:ascii="Times New Roman" w:cs="Times New Roman" w:eastAsia="Times New Roman" w:hAnsi="Times New Roman"/>
                <w:sz w:val="18"/>
                <w:szCs w:val="18"/>
                <w:color w:val="auto"/>
                <w:w w:val="99"/>
              </w:rPr>
              <w:t>SIGNATURE PAGE FOR PURCHASER FOLLOWS]</w:t>
            </w:r>
          </w:p>
        </w:tc>
      </w:tr>
      <w:tr>
        <w:trPr>
          <w:trHeight w:val="432"/>
        </w:trPr>
        <w:tc>
          <w:tcPr>
            <w:tcW w:w="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gridSpan w:val="6"/>
          </w:tcPr>
          <w:p>
            <w:pPr>
              <w:jc w:val="center"/>
              <w:ind w:right="3080"/>
              <w:spacing w:after="0"/>
              <w:rPr>
                <w:sz w:val="20"/>
                <w:szCs w:val="20"/>
                <w:color w:val="auto"/>
              </w:rPr>
            </w:pPr>
            <w:r>
              <w:rPr>
                <w:rFonts w:ascii="Times New Roman" w:cs="Times New Roman" w:eastAsia="Times New Roman" w:hAnsi="Times New Roman"/>
                <w:sz w:val="18"/>
                <w:szCs w:val="18"/>
                <w:color w:val="auto"/>
                <w:w w:val="95"/>
              </w:rPr>
              <w:t>S-1</w:t>
            </w:r>
          </w:p>
        </w:tc>
      </w:tr>
    </w:tbl>
    <w:p>
      <w:pPr>
        <w:sectPr>
          <w:pgSz w:w="11900" w:h="16838" w:orient="portrait"/>
          <w:cols w:equalWidth="0" w:num="1">
            <w:col w:w="11240"/>
          </w:cols>
          <w:pgMar w:left="320" w:top="688" w:right="339" w:bottom="1440" w:gutter="0" w:footer="0" w:header="0"/>
        </w:sectPr>
      </w:pPr>
    </w:p>
    <w:bookmarkStart w:id="34" w:name="page35"/>
    <w:bookmarkEnd w:id="34"/>
    <w:p>
      <w:pPr>
        <w:jc w:val="right"/>
        <w:ind w:right="1479"/>
        <w:spacing w:after="0"/>
        <w:rPr>
          <w:sz w:val="20"/>
          <w:szCs w:val="20"/>
          <w:color w:val="auto"/>
        </w:rPr>
      </w:pPr>
      <w:r>
        <w:rPr>
          <w:rFonts w:ascii="Times New Roman" w:cs="Times New Roman" w:eastAsia="Times New Roman" w:hAnsi="Times New Roman"/>
          <w:sz w:val="18"/>
          <w:szCs w:val="18"/>
          <w:color w:val="auto"/>
        </w:rPr>
        <w:t>PURCHASER SIGNATURE PAGE TO SECURITIES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1414780</wp:posOffset>
            </wp:positionV>
            <wp:extent cx="3488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1140460</wp:posOffset>
            </wp:positionV>
            <wp:extent cx="3488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857250</wp:posOffset>
            </wp:positionV>
            <wp:extent cx="3488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582930</wp:posOffset>
            </wp:positionV>
            <wp:extent cx="3488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574675</wp:posOffset>
            </wp:positionV>
            <wp:extent cx="3488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291465</wp:posOffset>
            </wp:positionV>
            <wp:extent cx="3488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WIRE INSTRUCTIONS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DISCLOSURE SCHEDULES</w:t>
      </w:r>
    </w:p>
    <w:p>
      <w:pPr>
        <w:sectPr>
          <w:pgSz w:w="11900" w:h="16838" w:orient="portrait"/>
          <w:cols w:equalWidth="0" w:num="1">
            <w:col w:w="9019"/>
          </w:cols>
          <w:pgMar w:left="1440" w:top="684"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10, 2026, between Bio Green Med Solution,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5" w:lineRule="exact"/>
        <w:rPr>
          <w:sz w:val="20"/>
          <w:szCs w:val="20"/>
          <w:color w:val="auto"/>
        </w:rPr>
      </w:pPr>
    </w:p>
    <w:p>
      <w:pPr>
        <w:ind w:left="520" w:hanging="188"/>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9" w:lineRule="exact"/>
        <w:rPr>
          <w:sz w:val="20"/>
          <w:szCs w:val="20"/>
          <w:color w:val="auto"/>
        </w:rPr>
      </w:pPr>
    </w:p>
    <w:p>
      <w:pPr>
        <w:jc w:val="both"/>
        <w:ind w:firstLine="648"/>
        <w:spacing w:after="0" w:line="19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Filing Date (or, in the event of a “review” by the Securities and Exchange Commission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Filing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Date) and with respect to any additional Registration Statement which may be required pursuant to Section 2(c) or Section 3(c),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on which an additional Registration Statement is required to be filed hereunder (or, in the event of a “full review” by the Commission,</w:t>
      </w:r>
    </w:p>
    <w:p>
      <w:pPr>
        <w:jc w:val="both"/>
        <w:spacing w:after="0" w:line="231" w:lineRule="auto"/>
        <w:rPr>
          <w:sz w:val="20"/>
          <w:szCs w:val="20"/>
          <w:color w:val="auto"/>
        </w:rPr>
      </w:pPr>
      <w:r>
        <w:rPr>
          <w:rFonts w:ascii="Times New Roman" w:cs="Times New Roman" w:eastAsia="Times New Roman" w:hAnsi="Times New Roman"/>
          <w:sz w:val="18"/>
          <w:szCs w:val="18"/>
          <w:color w:val="auto"/>
        </w:rPr>
        <w:t>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Filing Date and with respect to any additional Registration Statement which may be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9"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earlier of (i)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(ii)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of a strategic business combination transaction, if any, or (iii) the 60th calendar day following any announcement that the Company is no longer pursuing, or has abandoned efforts to consummate a strategic business combination transaction, if any (or such earlier date as the Company reasonably determine it is eligible and permitted to file pursuant to applicable Commission rules and guidance)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all Shares and (b)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the Company’s Common Stock, par value $0.001 per share, sold to the Purchasers pursuant to the terms of the Purchase Agreement.</w:t>
      </w:r>
    </w:p>
    <w:p>
      <w:pPr>
        <w:spacing w:after="0" w:line="162" w:lineRule="exact"/>
        <w:rPr>
          <w:sz w:val="20"/>
          <w:szCs w:val="20"/>
          <w:color w:val="auto"/>
        </w:rPr>
      </w:pPr>
    </w:p>
    <w:p>
      <w:pPr>
        <w:ind w:left="520" w:hanging="188"/>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8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commercially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5:30 p.m. (New York City time) on a Trading Day. The Company shall promptly (in any event within twenty-four (24) hours) notify the Holders via e-mail of the Commission declared effectiveness of a Registration Statement. The Company shall, by 9:30 a.m. (New York City time) on the Trading Day after the effective date of such Registration Statement, file a final Prospectus with the Commission as required by Rule 424.</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56"/>
        <w:spacing w:after="0" w:line="254" w:lineRule="auto"/>
        <w:tabs>
          <w:tab w:leader="none" w:pos="9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which event shall not subject the Company to any payment of liquidated damages under Section 2(d),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shall reduce Registrable Securities represented by Shares (applied, in the case that some Shares may be registered, to the Holders on a pro rata basis based on the total number of unregistered Shares held by such Holders).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provision to the contrary in this Agreement, the parties hereto agree that the Company’s delay or failure to have a Registration Statement declared effective due to the Commission taking the position that the offering is a constructive primary offering shall not be a breach of any provision of this Agreement and no liquidated damages shall accrue as to any cut back shares.</w:t>
      </w:r>
    </w:p>
    <w:p>
      <w:pPr>
        <w:spacing w:after="0" w:line="176" w:lineRule="exact"/>
        <w:rPr>
          <w:sz w:val="20"/>
          <w:szCs w:val="20"/>
          <w:color w:val="auto"/>
        </w:rPr>
      </w:pPr>
    </w:p>
    <w:p>
      <w:pPr>
        <w:jc w:val="both"/>
        <w:ind w:firstLine="656"/>
        <w:spacing w:after="0" w:line="251"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Initial Registration Statement is not filed on or prior to its Filing Date (if the Company files the Initial Registration Statement without affording the Holders the opportunity to review and comment on the same as required by Section 3(a) herein or the Company subsequent withdraws the filing of the Registration Statement without a reasoned and supportable basis, the Company shall be deemed to have not satisfied this clause (i),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such number of Business Days set forth in and following the receipt of comments by or notice from the Commission that such amendment is required in order for such Registration Statement to be declared effective, or (iv) a Registration Statement registering for resale all of the Registrable Securities, subject to the cutback limitations set forth in Section 2(c) of this Agreement, is not declared effective by the Commission by the Effectiveness Date of the Initial Registration Statement or (v) after the effective date of a Registration Statement, subject to the Company’s right under </w:t>
      </w:r>
      <w:r>
        <w:rPr>
          <w:rFonts w:ascii="Times New Roman" w:cs="Times New Roman" w:eastAsia="Times New Roman" w:hAnsi="Times New Roman"/>
          <w:sz w:val="18"/>
          <w:szCs w:val="18"/>
          <w:u w:val="single" w:color="auto"/>
          <w:color w:val="auto"/>
        </w:rPr>
        <w:t>Section 3(j)</w:t>
      </w:r>
      <w:r>
        <w:rPr>
          <w:rFonts w:ascii="Times New Roman" w:cs="Times New Roman" w:eastAsia="Times New Roman" w:hAnsi="Times New Roman"/>
          <w:sz w:val="18"/>
          <w:szCs w:val="18"/>
          <w:color w:val="auto"/>
        </w:rPr>
        <w:t xml:space="preserve"> of this Agreement,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Purchase Price paid by such Holder pursuant to the Purchase Agreement. The parties agree that the maximum aggregate liquidated damages payable to a Holder under this Agreement shall be 5% of the aggregate Purchase Price paid by such Holder pursuant to the Purchase Agreement. If the Company fails to pay any partial liquidated damages pursuant to this Section in full within seven Business Days after the date payable, the Company will pay interest thereon at a rate of 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56"/>
        <w:spacing w:after="0" w:line="261" w:lineRule="auto"/>
        <w:tabs>
          <w:tab w:leader="none" w:pos="8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 which consent shall not be unreasonably withheld.</w:t>
      </w:r>
    </w:p>
    <w:p>
      <w:pPr>
        <w:spacing w:after="0" w:line="162" w:lineRule="exact"/>
        <w:rPr>
          <w:sz w:val="20"/>
          <w:szCs w:val="20"/>
          <w:color w:val="auto"/>
        </w:rPr>
      </w:pPr>
    </w:p>
    <w:p>
      <w:pPr>
        <w:ind w:left="520" w:hanging="188"/>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firstLine="656"/>
        <w:spacing w:after="0" w:line="252" w:lineRule="auto"/>
        <w:tabs>
          <w:tab w:leader="none" w:pos="8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but not the express approval of such Holders other than as set forth in the remainder of this subsection as to inquiries and objections,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w:t>
      </w:r>
    </w:p>
    <w:p>
      <w:pPr>
        <w:spacing w:after="0" w:line="4"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u w:val="single" w:color="auto"/>
          <w:color w:val="auto"/>
        </w:rPr>
        <w:t>Questionnaire</w:t>
      </w:r>
      <w:r>
        <w:rPr>
          <w:rFonts w:ascii="Times New Roman" w:cs="Times New Roman" w:eastAsia="Times New Roman" w:hAnsi="Times New Roman"/>
          <w:sz w:val="18"/>
          <w:szCs w:val="18"/>
          <w:color w:val="auto"/>
        </w:rPr>
        <w:t>”) on a date that is not less than two (2) Trading Days prior to the Filing Date or by the end of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on which such Holder receives draft materials in accordance with this Section.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656"/>
        <w:spacing w:after="0" w:line="253" w:lineRule="auto"/>
        <w:tabs>
          <w:tab w:leader="none" w:pos="9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if requested in writing by a Holder,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9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left="-20" w:firstLine="656"/>
        <w:spacing w:after="0" w:line="266" w:lineRule="auto"/>
        <w:tabs>
          <w:tab w:leader="none" w:pos="9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8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9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8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45" w:name="page46"/>
    <w:bookmarkEnd w:id="45"/>
    <w:p>
      <w:pPr>
        <w:jc w:val="both"/>
        <w:ind w:firstLine="656"/>
        <w:spacing w:after="0" w:line="261" w:lineRule="auto"/>
        <w:tabs>
          <w:tab w:leader="none" w:pos="8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(or an electronic statement in lieu thereof) representing Registrable Securities to be delivered to a transferee pursuant to a Registration Statement, which certificates (or an electronic statement in lieu thereof)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89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any event contemplated by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commercially reasonable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if otherwise required pursuant to Section 2(d), for a period not to exceed 60 calendar days (which need not be consecutive days) in any 12-month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best efforts to maintain eligibility for use of Form S-3 (or any successor form thereto) for the registration of the resale of Registrable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332"/>
        <w:spacing w:after="0" w:line="252" w:lineRule="auto"/>
        <w:tabs>
          <w:tab w:leader="none" w:pos="5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legal and accounting expenses),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7"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1"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the Company.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656"/>
        <w:spacing w:after="0" w:line="252" w:lineRule="auto"/>
        <w:tabs>
          <w:tab w:leader="none" w:pos="9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56"/>
        <w:spacing w:after="0" w:line="253" w:lineRule="auto"/>
        <w:tabs>
          <w:tab w:leader="none" w:pos="9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520" w:hanging="188"/>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6(b)</w:t>
      </w:r>
      <w:r>
        <w:rPr>
          <w:rFonts w:ascii="Times New Roman" w:cs="Times New Roman" w:eastAsia="Times New Roman" w:hAnsi="Times New Roman"/>
          <w:sz w:val="18"/>
          <w:szCs w:val="18"/>
          <w:color w:val="auto"/>
        </w:rPr>
        <w:t xml:space="preserve"> attached hereto, neither the Company nor any of its security holders (other than the Holders in such capacity pursuant hereto) may include securities of the Company in any Registration Statements other than the Registrable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56"/>
        <w:spacing w:after="0" w:line="258" w:lineRule="auto"/>
        <w:tabs>
          <w:tab w:leader="none" w:pos="8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xml:space="preserve">. By its acquisition of Registrable Securities, each Holder agrees that, upon receipt of a notice from the Company of the occurrence of any event of the kind described in </w:t>
      </w:r>
      <w:r>
        <w:rPr>
          <w:rFonts w:ascii="Times New Roman" w:cs="Times New Roman" w:eastAsia="Times New Roman" w:hAnsi="Times New Roman"/>
          <w:sz w:val="18"/>
          <w:szCs w:val="18"/>
          <w:u w:val="single" w:color="auto"/>
          <w:color w:val="auto"/>
        </w:rPr>
        <w:t>Section 3(d)(iii)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commercially reasonable best efforts to ensure that the use of the Prospectus may be resumed as promptly as is practicable.</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sentence may not be amended, modified, or supplemented except in accordance with the provisions of the first sentence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No consideration shall be offered or paid to any Person to amend or consent to a waiver or modification of any provision of this Agreement unless the same consideration also is offered to all of the parties to this Agreement.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in its SEC Reports, neither the Company nor any of its Subsidiaries has previously entered into any agreement granting any registration rights with respect to any of its securities to any Person that have not expired or been satisfied in full.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firstLine="656"/>
        <w:spacing w:after="0" w:line="256" w:lineRule="auto"/>
        <w:tabs>
          <w:tab w:leader="none" w:pos="9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8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17145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291465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688" w:right="1440" w:bottom="1440" w:gutter="0" w:footer="0" w:header="0"/>
        </w:sectPr>
      </w:pPr>
    </w:p>
    <w:bookmarkStart w:id="52" w:name="page53"/>
    <w:bookmarkEnd w:id="52"/>
    <w:p>
      <w:pPr>
        <w:jc w:val="right"/>
        <w:ind w:right="2499"/>
        <w:spacing w:after="0"/>
        <w:rPr>
          <w:sz w:val="20"/>
          <w:szCs w:val="20"/>
          <w:color w:val="auto"/>
        </w:rPr>
      </w:pPr>
      <w:r>
        <w:rPr>
          <w:rFonts w:ascii="Times New Roman" w:cs="Times New Roman" w:eastAsia="Times New Roman" w:hAnsi="Times New Roman"/>
          <w:sz w:val="18"/>
          <w:szCs w:val="18"/>
          <w:color w:val="auto"/>
        </w:rPr>
        <w:t>[SIGNATURE PAGE OF HOLDERS TO BGMS RRA]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SELLING SHAREHOLDERS</w:t>
      </w:r>
    </w:p>
    <w:p>
      <w:pPr>
        <w:spacing w:after="0" w:line="24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Selling Stockholder Notice and Questionnaire</w:t>
      </w:r>
    </w:p>
    <w:p>
      <w:pPr>
        <w:spacing w:after="0" w:line="2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20"/>
      </w:cols>
      <w:pgMar w:left="144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lvl w:ilvl="1">
      <w:lvlJc w:val="left"/>
      <w:lvlText w:val="(%2)"/>
      <w:numFmt w:val="lowerRoman"/>
      <w:start w:val="1"/>
    </w:lvl>
  </w:abstractNum>
  <w:abstractNum w:abstractNumId="3">
    <w:nsid w:val="6763845E"/>
    <w:multiLevelType w:val="hybridMultilevel"/>
    <w:lvl w:ilvl="0">
      <w:lvlJc w:val="left"/>
      <w:lvlText w:val="(%1)"/>
      <w:numFmt w:val="lowerLetter"/>
      <w:start w:val="1"/>
    </w:lvl>
    <w:lvl w:ilvl="1">
      <w:lvlJc w:val="left"/>
      <w:lvlText w:val="(%2)"/>
      <w:numFmt w:val="lowerRoman"/>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1"/>
    </w:lvl>
    <w:lvl w:ilvl="1">
      <w:lvlJc w:val="left"/>
      <w:lvlText w:val="(%2)"/>
      <w:numFmt w:val="lowerLetter"/>
      <w:start w:val="4"/>
    </w:lvl>
  </w:abstractNum>
  <w:abstractNum w:abstractNumId="6">
    <w:nsid w:val="79838CB2"/>
    <w:multiLevelType w:val="hybridMultilevel"/>
    <w:lvl w:ilvl="0">
      <w:lvlJc w:val="left"/>
      <w:lvlText w:val="(%1)"/>
      <w:numFmt w:val="lowerLetter"/>
      <w:start w:val="35"/>
    </w:lvl>
    <w:lvl w:ilvl="1">
      <w:lvlJc w:val="left"/>
      <w:lvlText w:val="(%2)"/>
      <w:numFmt w:val="lowerLetter"/>
      <w:start w:val="5"/>
    </w:lvl>
  </w:abstractNum>
  <w:abstractNum w:abstractNumId="7">
    <w:nsid w:val="4353D0CD"/>
    <w:multiLevelType w:val="hybridMultilevel"/>
    <w:lvl w:ilvl="0">
      <w:lvlJc w:val="left"/>
      <w:lvlText w:val="(%1)"/>
      <w:numFmt w:val="lowerLetter"/>
      <w:start w:val="9"/>
    </w:lvl>
    <w:lvl w:ilvl="1">
      <w:lvlJc w:val="left"/>
      <w:lvlText w:val="(%2)"/>
      <w:numFmt w:val="lowerLetter"/>
      <w:start w:val="6"/>
    </w:lvl>
  </w:abstractNum>
  <w:abstractNum w:abstractNumId="8">
    <w:nsid w:val="B03E0C6"/>
    <w:multiLevelType w:val="hybridMultilevel"/>
    <w:lvl w:ilvl="0">
      <w:lvlJc w:val="left"/>
      <w:lvlText w:val="(%1)"/>
      <w:numFmt w:val="lowerLetter"/>
      <w:start w:val="7"/>
    </w:lvl>
  </w:abstractNum>
  <w:abstractNum w:abstractNumId="9">
    <w:nsid w:val="189A769B"/>
    <w:multiLevelType w:val="hybridMultilevel"/>
    <w:lvl w:ilvl="0">
      <w:lvlJc w:val="left"/>
      <w:lvlText w:val="(%1)"/>
      <w:numFmt w:val="lowerLetter"/>
      <w:start w:val="9"/>
    </w:lvl>
  </w:abstractNum>
  <w:abstractNum w:abstractNumId="10">
    <w:nsid w:val="54E49EB4"/>
    <w:multiLevelType w:val="hybridMultilevel"/>
    <w:lvl w:ilvl="0">
      <w:lvlJc w:val="left"/>
      <w:lvlText w:val="(%1)"/>
      <w:numFmt w:val="lowerLetter"/>
      <w:start w:val="11"/>
    </w:lvl>
  </w:abstractNum>
  <w:abstractNum w:abstractNumId="11">
    <w:nsid w:val="71F32454"/>
    <w:multiLevelType w:val="hybridMultilevel"/>
    <w:lvl w:ilvl="0">
      <w:lvlJc w:val="left"/>
      <w:lvlText w:val="(%1)"/>
      <w:numFmt w:val="lowerLetter"/>
      <w:start w:val="14"/>
    </w:lvl>
  </w:abstractNum>
  <w:abstractNum w:abstractNumId="12">
    <w:nsid w:val="2CA88611"/>
    <w:multiLevelType w:val="hybridMultilevel"/>
    <w:lvl w:ilvl="0">
      <w:lvlJc w:val="left"/>
      <w:lvlText w:val="(%1)"/>
      <w:numFmt w:val="lowerLetter"/>
      <w:start w:val="17"/>
    </w:lvl>
  </w:abstractNum>
  <w:abstractNum w:abstractNumId="13">
    <w:nsid w:val="836C40E"/>
    <w:multiLevelType w:val="hybridMultilevel"/>
    <w:lvl w:ilvl="0">
      <w:lvlJc w:val="left"/>
      <w:lvlText w:val="(%1)"/>
      <w:numFmt w:val="lowerLetter"/>
      <w:start w:val="20"/>
    </w:lvl>
  </w:abstractNum>
  <w:abstractNum w:abstractNumId="14">
    <w:nsid w:val="2901D82"/>
    <w:multiLevelType w:val="hybridMultilevel"/>
    <w:lvl w:ilvl="0">
      <w:lvlJc w:val="left"/>
      <w:lvlText w:val="(%1)"/>
      <w:numFmt w:val="lowerLetter"/>
      <w:start w:val="24"/>
    </w:lvl>
  </w:abstractNum>
  <w:abstractNum w:abstractNumId="15">
    <w:nsid w:val="3A95F874"/>
    <w:multiLevelType w:val="hybridMultilevel"/>
    <w:lvl w:ilvl="0">
      <w:lvlJc w:val="left"/>
      <w:lvlText w:val="%1"/>
      <w:numFmt w:val="lowerLetter"/>
      <w:start w:val="1"/>
    </w:lvl>
    <w:lvl w:ilvl="1">
      <w:lvlJc w:val="left"/>
      <w:lvlText w:val="(%2)"/>
      <w:numFmt w:val="lowerLetter"/>
      <w:start w:val="27"/>
    </w:lvl>
  </w:abstractNum>
  <w:abstractNum w:abstractNumId="16">
    <w:nsid w:val="8138641"/>
    <w:multiLevelType w:val="hybridMultilevel"/>
    <w:lvl w:ilvl="0">
      <w:lvlJc w:val="left"/>
      <w:lvlText w:val="(%1)"/>
      <w:numFmt w:val="lowerLetter"/>
      <w:start w:val="61"/>
    </w:lvl>
    <w:lvl w:ilvl="1">
      <w:lvlJc w:val="left"/>
      <w:lvlText w:val="(%2)"/>
      <w:numFmt w:val="lowerLetter"/>
      <w:start w:val="28"/>
    </w:lvl>
  </w:abstractNum>
  <w:abstractNum w:abstractNumId="17">
    <w:nsid w:val="1E7FF521"/>
    <w:multiLevelType w:val="hybridMultilevel"/>
    <w:lvl w:ilvl="0">
      <w:lvlJc w:val="left"/>
      <w:lvlText w:val="%1"/>
      <w:numFmt w:val="lowerLetter"/>
      <w:start w:val="1"/>
    </w:lvl>
    <w:lvl w:ilvl="1">
      <w:lvlJc w:val="left"/>
      <w:lvlText w:val="(%2)"/>
      <w:numFmt w:val="lowerLetter"/>
      <w:start w:val="29"/>
    </w:lvl>
  </w:abstractNum>
  <w:abstractNum w:abstractNumId="18">
    <w:nsid w:val="7C3DBD3D"/>
    <w:multiLevelType w:val="hybridMultilevel"/>
    <w:lvl w:ilvl="0">
      <w:lvlJc w:val="left"/>
      <w:lvlText w:val="(%1)"/>
      <w:numFmt w:val="lowerLetter"/>
      <w:start w:val="61"/>
    </w:lvl>
    <w:lvl w:ilvl="1">
      <w:lvlJc w:val="left"/>
      <w:lvlText w:val="(%2)"/>
      <w:numFmt w:val="lowerLetter"/>
      <w:start w:val="32"/>
    </w:lvl>
  </w:abstractNum>
  <w:abstractNum w:abstractNumId="19">
    <w:nsid w:val="737B8DDC"/>
    <w:multiLevelType w:val="hybridMultilevel"/>
    <w:lvl w:ilvl="0">
      <w:lvlJc w:val="left"/>
      <w:lvlText w:val="(%1)"/>
      <w:numFmt w:val="lowerLetter"/>
      <w:start w:val="34"/>
    </w:lvl>
  </w:abstractNum>
  <w:abstractNum w:abstractNumId="20">
    <w:nsid w:val="6CEAF087"/>
    <w:multiLevelType w:val="hybridMultilevel"/>
    <w:lvl w:ilvl="0">
      <w:lvlJc w:val="left"/>
      <w:lvlText w:val="(%1)"/>
      <w:numFmt w:val="lowerLetter"/>
      <w:start w:val="39"/>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4"/>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1"/>
    </w:lvl>
    <w:lvl w:ilvl="1">
      <w:lvlJc w:val="left"/>
      <w:lvlText w:val="(%2)"/>
      <w:numFmt w:val="lowerLetter"/>
      <w:start w:val="1"/>
    </w:lvl>
  </w:abstractNum>
  <w:abstractNum w:abstractNumId="26">
    <w:nsid w:val="5577F8E1"/>
    <w:multiLevelType w:val="hybridMultilevel"/>
    <w:lvl w:ilvl="0">
      <w:lvlJc w:val="left"/>
      <w:lvlText w:val="(%1)"/>
      <w:numFmt w:val="lowerLetter"/>
      <w:start w:val="9"/>
    </w:lvl>
    <w:lvl w:ilvl="1">
      <w:lvlJc w:val="left"/>
      <w:lvlText w:val="(%2)"/>
      <w:numFmt w:val="lowerLetter"/>
      <w:start w:val="2"/>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2"/>
    </w:lvl>
    <w:lvl w:ilvl="1">
      <w:lvlJc w:val="left"/>
      <w:lvlText w:val="(%2)"/>
      <w:numFmt w:val="lowerLetter"/>
      <w:start w:val="1"/>
    </w:lvl>
  </w:abstractNum>
  <w:abstractNum w:abstractNumId="29">
    <w:nsid w:val="3804823E"/>
    <w:multiLevelType w:val="hybridMultilevel"/>
    <w:lvl w:ilvl="0">
      <w:lvlJc w:val="left"/>
      <w:lvlText w:val="(%1)"/>
      <w:numFmt w:val="lowerLetter"/>
      <w:start w:val="2"/>
    </w:lvl>
    <w:lvl w:ilvl="1">
      <w:lvlJc w:val="left"/>
      <w:lvlText w:val="%2."/>
      <w:numFmt w:val="lowerLetter"/>
      <w:start w:val="1"/>
    </w:lvl>
  </w:abstractNum>
  <w:abstractNum w:abstractNumId="30">
    <w:nsid w:val="77465F01"/>
    <w:multiLevelType w:val="hybridMultilevel"/>
    <w:lvl w:ilvl="0">
      <w:lvlJc w:val="left"/>
      <w:lvlText w:val="(%1)"/>
      <w:numFmt w:val="lowerLetter"/>
      <w:start w:val="4"/>
    </w:lvl>
  </w:abstractNum>
  <w:abstractNum w:abstractNumId="31">
    <w:nsid w:val="7724C67E"/>
    <w:multiLevelType w:val="hybridMultilevel"/>
    <w:lvl w:ilvl="0">
      <w:lvlJc w:val="left"/>
      <w:lvlText w:val="(%1)"/>
      <w:numFmt w:val="lowerLetter"/>
      <w:start w:val="5"/>
    </w:lvl>
  </w:abstractNum>
  <w:abstractNum w:abstractNumId="32">
    <w:nsid w:val="5C482A97"/>
    <w:multiLevelType w:val="hybridMultilevel"/>
    <w:lvl w:ilvl="0">
      <w:lvlJc w:val="left"/>
      <w:lvlText w:val="%1."/>
      <w:numFmt w:val="decimal"/>
      <w:start w:val="3"/>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Letter"/>
      <w:start w:val="2"/>
    </w:lvl>
  </w:abstractNum>
  <w:abstractNum w:abstractNumId="35">
    <w:nsid w:val="51EAD36B"/>
    <w:multiLevelType w:val="hybridMultilevel"/>
    <w:lvl w:ilvl="0">
      <w:lvlJc w:val="left"/>
      <w:lvlText w:val="(%1)"/>
      <w:numFmt w:val="lowerLetter"/>
      <w:start w:val="5"/>
    </w:lvl>
  </w:abstractNum>
  <w:abstractNum w:abstractNumId="36">
    <w:nsid w:val="2D517796"/>
    <w:multiLevelType w:val="hybridMultilevel"/>
    <w:lvl w:ilvl="0">
      <w:lvlJc w:val="left"/>
      <w:lvlText w:val="(%1)"/>
      <w:numFmt w:val="lowerLetter"/>
      <w:start w:val="9"/>
    </w:lvl>
  </w:abstractNum>
  <w:abstractNum w:abstractNumId="37">
    <w:nsid w:val="580BD78F"/>
    <w:multiLevelType w:val="hybridMultilevel"/>
    <w:lvl w:ilvl="0">
      <w:lvlJc w:val="left"/>
      <w:lvlText w:val="%1."/>
      <w:numFmt w:val="decimal"/>
      <w:start w:val="4"/>
    </w:lvl>
    <w:lvl w:ilvl="1">
      <w:lvlJc w:val="left"/>
      <w:lvlText w:val="(%2)"/>
      <w:numFmt w:val="lowerLetter"/>
      <w:start w:val="1"/>
    </w:lvl>
  </w:abstractNum>
  <w:abstractNum w:abstractNumId="38">
    <w:nsid w:val="153EA438"/>
    <w:multiLevelType w:val="hybridMultilevel"/>
    <w:lvl w:ilvl="0">
      <w:lvlJc w:val="left"/>
      <w:lvlText w:val="(%1)"/>
      <w:numFmt w:val="lowerLetter"/>
      <w:start w:val="2"/>
    </w:lvl>
  </w:abstractNum>
  <w:abstractNum w:abstractNumId="39">
    <w:nsid w:val="3855585C"/>
    <w:multiLevelType w:val="hybridMultilevel"/>
    <w:lvl w:ilvl="0">
      <w:lvlJc w:val="left"/>
      <w:lvlText w:val="(%1)"/>
      <w:numFmt w:val="lowerLetter"/>
      <w:start w:val="4"/>
    </w:lvl>
  </w:abstractNum>
  <w:abstractNum w:abstractNumId="40">
    <w:nsid w:val="70A64E2A"/>
    <w:multiLevelType w:val="hybridMultilevel"/>
    <w:lvl w:ilvl="0">
      <w:lvlJc w:val="left"/>
      <w:lvlText w:val="%1."/>
      <w:numFmt w:val="decimal"/>
      <w:start w:val="6"/>
    </w:lvl>
    <w:lvl w:ilvl="1">
      <w:lvlJc w:val="left"/>
      <w:lvlText w:val="(%2)"/>
      <w:numFmt w:val="lowerLetter"/>
      <w:start w:val="1"/>
    </w:lvl>
  </w:abstractNum>
  <w:abstractNum w:abstractNumId="41">
    <w:nsid w:val="6A2342EC"/>
    <w:multiLevelType w:val="hybridMultilevel"/>
    <w:lvl w:ilvl="0">
      <w:lvlJc w:val="left"/>
      <w:lvlText w:val="(%1)"/>
      <w:numFmt w:val="lowerLetter"/>
      <w:start w:val="3"/>
    </w:lvl>
  </w:abstractNum>
  <w:abstractNum w:abstractNumId="42">
    <w:nsid w:val="2A487CB0"/>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2026-06-10T11:49:44Z</dcterms:created>
  <dcterms:modified xsi:type="dcterms:W3CDTF">2026-06-10T11:49:44Z</dcterms:modified>
</cp:coreProperties>
</file>